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firstLine="0"/>
        <w:jc w:val="both"/>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firstLine="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广元市科协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firstLine="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jc w:val="center"/>
        <w:textAlignment w:val="auto"/>
        <w:rPr>
          <w:rFonts w:hint="eastAsia" w:ascii="仿宋_GB2312" w:hAnsi="仿宋_GB2312" w:eastAsia="仿宋_GB2312" w:cs="仿宋_GB2312"/>
          <w:b w:val="0"/>
          <w:bCs w:val="0"/>
          <w:i w:val="0"/>
          <w:caps w:val="0"/>
          <w:color w:val="000000" w:themeColor="text1"/>
          <w:spacing w:val="0"/>
          <w:kern w:val="0"/>
          <w:sz w:val="24"/>
          <w:szCs w:val="24"/>
          <w:highlight w:val="none"/>
          <w:shd w:val="clear" w:color="auto" w:fill="FFFFFF"/>
          <w:lang w:val="en-US" w:eastAsia="zh-CN" w:bidi="ar"/>
          <w14:textFill>
            <w14:solidFill>
              <w14:schemeClr w14:val="tx1"/>
            </w14:solidFill>
          </w14:textFill>
        </w:rPr>
      </w:pPr>
    </w:p>
    <w:sdt>
      <w:sdtPr>
        <w:rPr>
          <w:rFonts w:hint="eastAsia" w:ascii="仿宋_GB2312" w:hAnsi="仿宋_GB2312" w:eastAsia="仿宋_GB2312" w:cs="仿宋_GB2312"/>
          <w:color w:val="auto"/>
          <w:kern w:val="2"/>
          <w:sz w:val="24"/>
          <w:szCs w:val="24"/>
          <w:lang w:val="en-US" w:eastAsia="zh-CN" w:bidi="ar-SA"/>
        </w:rPr>
        <w:id w:val="608259886"/>
        <w15:color w:val="DBDBDB"/>
        <w:docPartObj>
          <w:docPartGallery w:val="Table of Contents"/>
          <w:docPartUnique/>
        </w:docPartObj>
      </w:sdtPr>
      <w:sdtEndPr>
        <w:rPr>
          <w:rFonts w:hint="eastAsia" w:ascii="仿宋_GB2312" w:hAnsi="仿宋_GB2312" w:eastAsia="仿宋_GB2312" w:cs="仿宋_GB2312"/>
          <w:b/>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32"/>
              <w:szCs w:val="32"/>
            </w:rPr>
            <w:t>目录</w:t>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"1-2" \h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_Toc1020549073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一、基本职能及主要工作</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_Toc1020549073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2</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_Toc801739364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二、部门预算单位构成</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_Toc801739364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3</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_Toc616750482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三、收支预算情况说明</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_Toc616750482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4</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_Toc1904338138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（一）收入预算情况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_Toc1904338138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_Toc1651056893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（二）支出预算情况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_Toc1651056893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_Toc1789004175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四、财政拨款收支预算情况说明</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_Toc1789004175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4</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_Toc161933319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五、一般公共预算当年拨款情况说明</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_Toc161933319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5</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_Toc876799745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（一）一般公共预算当年拨款规模变化情况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_Toc876799745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_Toc964000578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（二）一般公共预算当年拨款结构情况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_Toc964000578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_Toc1709773671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（三）一般公共预算当年拨款具体使用情况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_Toc1709773671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_Toc1967053231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六、一般公共预算基本支出情况说明</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_Toc1967053231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6</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_Toc111345171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七、“三公”经费财政拨款预算安排情况说明</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_Toc111345171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7</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_Toc249902346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（一）公务接待费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_Toc249902346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_Toc1143174017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（二）公务用车购置及运行维护费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_Toc1143174017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_Toc2106548397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（三）因公出国（境）经费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_Toc2106548397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_Toc1324716779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八、政府性基金预算支出情况说明</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_Toc1324716779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8</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_Toc1453208710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九、国有资本经营预算支出情况说明</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_Toc1453208710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8</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_Toc94959458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十、其他重要事项的情况说明</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_Toc94959458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8</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_Toc1429552565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（一）机关运行经费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_Toc1429552565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_Toc1323430690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（二）政府采购情况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_Toc1323430690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_Toc1075050999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（三）国有资产占有使用情况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_Toc1075050999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tabs>
              <w:tab w:val="right" w:leader="dot" w:pos="88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_Toc71423886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en-US" w:eastAsia="zh-CN"/>
            </w:rPr>
            <w:t>（四）绩效目标设置情况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_Toc71423886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_Toc1004290052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十一、名词解释</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_Toc1004290052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9</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_Toc1326733825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附件：1.部门预算公开表</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_Toc1326733825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11</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_Toc1819847829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2. 部门整体支出绩效目标申报表预算</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_Toc1819847829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11</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pStyle w:val="14"/>
            <w:tabs>
              <w:tab w:val="right" w:leader="dot" w:pos="8845"/>
            </w:tabs>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HYPERLINK \l _Toc902753182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lang w:val="en-US" w:eastAsia="zh-CN"/>
            </w:rPr>
            <w:t>3. 项目绩效目标申报表</w:t>
          </w:r>
          <w:r>
            <w:rPr>
              <w:rFonts w:hint="eastAsia" w:ascii="仿宋_GB2312" w:hAnsi="仿宋_GB2312" w:eastAsia="仿宋_GB2312" w:cs="仿宋_GB2312"/>
              <w:b/>
              <w:sz w:val="24"/>
              <w:szCs w:val="24"/>
            </w:rPr>
            <w:tab/>
          </w:r>
          <w:r>
            <w:rPr>
              <w:rFonts w:hint="eastAsia" w:ascii="仿宋_GB2312" w:hAnsi="仿宋_GB2312" w:eastAsia="仿宋_GB2312" w:cs="仿宋_GB2312"/>
              <w:b/>
              <w:sz w:val="24"/>
              <w:szCs w:val="24"/>
            </w:rPr>
            <w:fldChar w:fldCharType="begin"/>
          </w:r>
          <w:r>
            <w:rPr>
              <w:rFonts w:hint="eastAsia" w:ascii="仿宋_GB2312" w:hAnsi="仿宋_GB2312" w:eastAsia="仿宋_GB2312" w:cs="仿宋_GB2312"/>
              <w:b/>
              <w:sz w:val="24"/>
              <w:szCs w:val="24"/>
            </w:rPr>
            <w:instrText xml:space="preserve"> PAGEREF _Toc902753182 \h </w:instrText>
          </w:r>
          <w:r>
            <w:rPr>
              <w:rFonts w:hint="eastAsia" w:ascii="仿宋_GB2312" w:hAnsi="仿宋_GB2312" w:eastAsia="仿宋_GB2312" w:cs="仿宋_GB2312"/>
              <w:b/>
              <w:sz w:val="24"/>
              <w:szCs w:val="24"/>
            </w:rPr>
            <w:fldChar w:fldCharType="separate"/>
          </w:r>
          <w:r>
            <w:rPr>
              <w:rFonts w:hint="eastAsia" w:ascii="仿宋_GB2312" w:hAnsi="仿宋_GB2312" w:eastAsia="仿宋_GB2312" w:cs="仿宋_GB2312"/>
              <w:b/>
              <w:sz w:val="24"/>
              <w:szCs w:val="24"/>
            </w:rPr>
            <w:t>11</w:t>
          </w:r>
          <w:r>
            <w:rPr>
              <w:rFonts w:hint="eastAsia" w:ascii="仿宋_GB2312" w:hAnsi="仿宋_GB2312" w:eastAsia="仿宋_GB2312" w:cs="仿宋_GB2312"/>
              <w:b/>
              <w:sz w:val="24"/>
              <w:szCs w:val="24"/>
            </w:rPr>
            <w:fldChar w:fldCharType="end"/>
          </w:r>
          <w:r>
            <w:rPr>
              <w:rFonts w:hint="eastAsia" w:ascii="仿宋_GB2312" w:hAnsi="仿宋_GB2312" w:eastAsia="仿宋_GB2312" w:cs="仿宋_GB2312"/>
              <w:b/>
              <w:sz w:val="24"/>
              <w:szCs w:val="24"/>
            </w:rPr>
            <w:fldChar w:fldCharType="end"/>
          </w:r>
        </w:p>
        <w:p>
          <w:pPr>
            <w:rPr>
              <w:b/>
            </w:rPr>
          </w:pPr>
          <w:r>
            <w:rPr>
              <w:rFonts w:hint="eastAsia" w:ascii="仿宋_GB2312" w:hAnsi="仿宋_GB2312" w:eastAsia="仿宋_GB2312" w:cs="仿宋_GB2312"/>
              <w:b/>
              <w:sz w:val="24"/>
              <w:szCs w:val="24"/>
            </w:rPr>
            <w:fldChar w:fldCharType="end"/>
          </w:r>
        </w:p>
      </w:sdtContent>
    </w:sdt>
    <w:p>
      <w:pPr>
        <w:rPr>
          <w:b/>
        </w:rPr>
      </w:pPr>
    </w:p>
    <w:p>
      <w:pPr>
        <w:rPr>
          <w:b/>
        </w:rPr>
      </w:pPr>
    </w:p>
    <w:p>
      <w:pPr>
        <w:rPr>
          <w:b/>
        </w:rPr>
      </w:pPr>
    </w:p>
    <w:p>
      <w:pPr>
        <w:rPr>
          <w:b/>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0"/>
        <w:rPr>
          <w:rFonts w:hint="eastAsia" w:ascii="黑体" w:hAnsi="黑体" w:eastAsia="黑体" w:cs="黑体"/>
          <w:sz w:val="32"/>
          <w:szCs w:val="32"/>
        </w:rPr>
      </w:pPr>
      <w:bookmarkStart w:id="0" w:name="_Toc1020549073"/>
      <w:r>
        <w:rPr>
          <w:rFonts w:hint="eastAsia" w:ascii="黑体" w:hAnsi="黑体" w:eastAsia="黑体" w:cs="黑体"/>
          <w:sz w:val="32"/>
          <w:szCs w:val="32"/>
          <w:lang w:val="en-US" w:eastAsia="zh-CN"/>
        </w:rPr>
        <w:t>一</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基本职能及主要工作</w:t>
      </w:r>
      <w:bookmarkEnd w:id="0"/>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单位</w:t>
      </w:r>
      <w:r>
        <w:rPr>
          <w:rFonts w:hint="eastAsia" w:ascii="楷体_GB2312" w:hAnsi="楷体_GB2312" w:eastAsia="楷体_GB2312" w:cs="楷体_GB2312"/>
          <w:sz w:val="32"/>
          <w:szCs w:val="32"/>
        </w:rPr>
        <w:t>职能简介</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val="0"/>
          <w:bCs w:val="0"/>
          <w:sz w:val="32"/>
          <w:szCs w:val="32"/>
        </w:rPr>
        <w:t>广元市科学技术协会（简称广元市科协）是广元市科技工作者的群众组织，是中共广元市委领导下的人民团体，是市委、市政府联系科技工作者的桥梁和纽带，是推动我市科学技术事业发展的重要力量。主要工作任务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（1）根据总体规划，制定科普计划，面向城市、农村、党员干部、群众、青少年普及科学知识，弘扬科学精神，宣传科学思想、科学方法，推广先进技术；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（2）开展学术交流，活跃学术思想，促进学科发展，加强国际、国内民间科技交流，推动决策的科学化和民主化；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（3）反映科技工作者的意见和要求，维护科技工作者的合法权益，为科技团体和科技工作者服务；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（4）表扬奖励优秀科技工作者，举荐人才，组织开展科技人员再创业服务；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（5）开展继续教育和技术培训，进行技术咨询服务，管理全市科技咨询行业，推动科技成果向现实生产力转化；</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（6）开展院士（专家）工作站建设工作，柔性引进院士（专家）高端智力人才搭建科技服务平台，服务创新驱动发展；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（7）开展海智基地建设工作，积极引进海外智力人才，服务“一带一路”战略，促进对外经济交流，助力“双创”，为推动科技成果转化和科技进步作出积极贡献；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（8）开展科普场馆建设工作，夯实基层科普，服务社会大众，提高市民科学素质；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（9）实施科普惠农兴村计划，带领广大科技工作者及农技协等相关学协会助力脱贫功坚；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（10）实施社区科普益民计划，建立各级科普示范社区，提高公民科学素质；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（11）对直属市级学会、协会、研究会、企业科协进行管理，对县区科协、基层科协组织进行业务指导；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（12）开展反对邪教及其他反科学、伪科学和封建迷信活动；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（13）承担市委、市政府和上级科协交办的其他工作。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0" w:beforeAutospacing="0" w:after="0" w:afterAutospacing="0" w:line="576" w:lineRule="exact"/>
        <w:ind w:left="0" w:leftChars="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Cs/>
          <w:sz w:val="32"/>
          <w:szCs w:val="32"/>
        </w:rPr>
        <w:t>一是</w:t>
      </w:r>
      <w:r>
        <w:rPr>
          <w:rFonts w:hint="eastAsia" w:ascii="仿宋_GB2312" w:hAnsi="仿宋_GB2312" w:eastAsia="仿宋_GB2312" w:cs="仿宋_GB2312"/>
          <w:sz w:val="32"/>
          <w:szCs w:val="32"/>
        </w:rPr>
        <w:t>认真贯彻落实市委八届五次、六次、七次会议精神，持续深化天府科技云“保姆式”服务助推铝产业高质量，指导中孚创建省级专家工作站。</w:t>
      </w:r>
      <w:r>
        <w:rPr>
          <w:rFonts w:hint="eastAsia" w:ascii="仿宋_GB2312" w:hAnsi="仿宋_GB2312" w:eastAsia="仿宋_GB2312" w:cs="仿宋_GB2312"/>
          <w:bCs/>
          <w:sz w:val="32"/>
          <w:szCs w:val="32"/>
        </w:rPr>
        <w:t>二是</w:t>
      </w:r>
      <w:r>
        <w:rPr>
          <w:rFonts w:hint="eastAsia" w:ascii="仿宋_GB2312" w:hAnsi="仿宋_GB2312" w:eastAsia="仿宋_GB2312" w:cs="仿宋_GB2312"/>
          <w:sz w:val="32"/>
          <w:szCs w:val="32"/>
        </w:rPr>
        <w:t>积极争取全省科协系统开展科技赋能乡村振兴行动现场会在广召开，总结科技赋能驻村工作队等工作做法及成效，探索推广市科协科技赋能“五集”新路径。</w:t>
      </w:r>
      <w:r>
        <w:rPr>
          <w:rFonts w:hint="eastAsia" w:ascii="仿宋_GB2312" w:hAnsi="仿宋_GB2312" w:eastAsia="仿宋_GB2312" w:cs="仿宋_GB2312"/>
          <w:bCs/>
          <w:sz w:val="32"/>
          <w:szCs w:val="32"/>
        </w:rPr>
        <w:t>三是</w:t>
      </w:r>
      <w:r>
        <w:rPr>
          <w:rFonts w:hint="eastAsia" w:ascii="仿宋_GB2312" w:hAnsi="仿宋_GB2312" w:eastAsia="仿宋_GB2312" w:cs="仿宋_GB2312"/>
          <w:sz w:val="32"/>
          <w:szCs w:val="32"/>
        </w:rPr>
        <w:t>召开广元市院士（专家）工作站建设服务高质量发展推进会，展示企业科技创新、科技成果转化、产业转型升级等典型案例，总结服务17个重点产业发展的成功经验。</w:t>
      </w:r>
      <w:r>
        <w:rPr>
          <w:rFonts w:hint="eastAsia" w:ascii="仿宋_GB2312" w:hAnsi="仿宋_GB2312" w:eastAsia="仿宋_GB2312" w:cs="仿宋_GB2312"/>
          <w:bCs/>
          <w:sz w:val="32"/>
          <w:szCs w:val="32"/>
        </w:rPr>
        <w:t>四是</w:t>
      </w:r>
      <w:r>
        <w:rPr>
          <w:rFonts w:hint="eastAsia" w:ascii="仿宋_GB2312" w:hAnsi="仿宋_GB2312" w:eastAsia="仿宋_GB2312" w:cs="仿宋_GB2312"/>
          <w:sz w:val="32"/>
          <w:szCs w:val="32"/>
        </w:rPr>
        <w:t>组织召开四川天府科技云助推猕猴桃溃疡病科学防治结题论证会，宣介猕猴桃溃疡综合防治重大科科研成果，助推猕猴桃产业高质量发展。</w:t>
      </w:r>
      <w:r>
        <w:rPr>
          <w:rFonts w:hint="eastAsia" w:ascii="仿宋_GB2312" w:hAnsi="仿宋_GB2312" w:eastAsia="仿宋_GB2312" w:cs="仿宋_GB2312"/>
          <w:bCs/>
          <w:sz w:val="32"/>
          <w:szCs w:val="32"/>
        </w:rPr>
        <w:t>五是</w:t>
      </w:r>
      <w:r>
        <w:rPr>
          <w:rFonts w:hint="eastAsia" w:ascii="仿宋_GB2312" w:hAnsi="仿宋_GB2312" w:eastAsia="仿宋_GB2312" w:cs="仿宋_GB2312"/>
          <w:sz w:val="32"/>
          <w:szCs w:val="32"/>
        </w:rPr>
        <w:t>继续做好中国科协学风传承项目，积极争创中国科学家精神教育基地，大力弘扬新时代科学家精神。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0"/>
        <w:rPr>
          <w:rFonts w:hint="eastAsia" w:ascii="黑体" w:hAnsi="黑体" w:eastAsia="黑体" w:cs="黑体"/>
          <w:sz w:val="32"/>
          <w:szCs w:val="32"/>
          <w:lang w:val="en-US" w:eastAsia="zh-CN"/>
        </w:rPr>
      </w:pPr>
      <w:bookmarkStart w:id="1" w:name="_Toc801739364"/>
      <w:r>
        <w:rPr>
          <w:rFonts w:hint="eastAsia" w:ascii="黑体" w:hAnsi="黑体" w:eastAsia="黑体" w:cs="黑体"/>
          <w:sz w:val="32"/>
          <w:szCs w:val="32"/>
          <w:lang w:val="en-US" w:eastAsia="zh-CN"/>
        </w:rPr>
        <w:t>二</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部门预算单位构成</w:t>
      </w:r>
      <w:bookmarkEnd w:id="1"/>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广元市科协下属</w:t>
      </w:r>
      <w:r>
        <w:rPr>
          <w:rFonts w:hint="eastAsia" w:ascii="仿宋_GB2312" w:hAnsi="仿宋_GB2312" w:eastAsia="仿宋_GB2312" w:cs="仿宋_GB2312"/>
          <w:b w:val="0"/>
          <w:bCs w:val="0"/>
          <w:sz w:val="32"/>
          <w:szCs w:val="32"/>
          <w:lang w:eastAsia="zh-CN"/>
        </w:rPr>
        <w:t>公益一类事业</w:t>
      </w:r>
      <w:r>
        <w:rPr>
          <w:rFonts w:hint="eastAsia" w:ascii="仿宋_GB2312" w:hAnsi="仿宋_GB2312" w:eastAsia="仿宋_GB2312" w:cs="仿宋_GB2312"/>
          <w:b w:val="0"/>
          <w:bCs w:val="0"/>
          <w:sz w:val="32"/>
          <w:szCs w:val="32"/>
        </w:rPr>
        <w:t>单位</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广元市科技服务中心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，未独立预算。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0"/>
        <w:rPr>
          <w:rFonts w:hint="eastAsia" w:ascii="黑体" w:hAnsi="黑体" w:eastAsia="黑体" w:cs="黑体"/>
          <w:sz w:val="32"/>
          <w:szCs w:val="32"/>
        </w:rPr>
      </w:pPr>
      <w:bookmarkStart w:id="2" w:name="_Toc616750482"/>
      <w:r>
        <w:rPr>
          <w:rFonts w:hint="eastAsia" w:ascii="黑体" w:hAnsi="黑体" w:eastAsia="黑体" w:cs="黑体"/>
          <w:sz w:val="32"/>
          <w:szCs w:val="32"/>
          <w:lang w:val="en-US" w:eastAsia="zh-CN"/>
        </w:rPr>
        <w:t>三</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收支预算情况说明</w:t>
      </w:r>
      <w:bookmarkEnd w:id="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预算的原则，广元市科协所有收入和支出均纳入部门预算管理。收入包括：一般公共预算拨款收入、其他收入；支出包括：科学技术支出、社会保障和就业支出、卫生健康支出、住房保障支出。广元市科协2024年收支预算总数550.18万元,比2023年收支预算总数增加35.42万元，主要原因是人员职务职级晋升，增加了人员经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1"/>
        <w:rPr>
          <w:rFonts w:hint="eastAsia" w:ascii="楷体_GB2312" w:hAnsi="楷体_GB2312" w:eastAsia="楷体_GB2312" w:cs="楷体_GB2312"/>
          <w:sz w:val="32"/>
          <w:szCs w:val="32"/>
          <w:lang w:val="en-US" w:eastAsia="zh-CN"/>
        </w:rPr>
      </w:pPr>
      <w:bookmarkStart w:id="3" w:name="_Toc1904338138"/>
      <w:r>
        <w:rPr>
          <w:rFonts w:hint="eastAsia" w:ascii="楷体_GB2312" w:hAnsi="楷体_GB2312" w:eastAsia="楷体_GB2312" w:cs="楷体_GB2312"/>
          <w:sz w:val="32"/>
          <w:szCs w:val="32"/>
          <w:lang w:val="en-US" w:eastAsia="zh-CN"/>
        </w:rPr>
        <w:t>（一）收入预算情况</w:t>
      </w:r>
      <w:bookmarkEnd w:id="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广元市科协2024年收入预算550.18万元，其中：一般公共预算拨款收入549.18万元，占99.82%；其他收入1万元，占0.18%。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1"/>
        <w:rPr>
          <w:rFonts w:hint="eastAsia" w:ascii="楷体_GB2312" w:hAnsi="楷体_GB2312" w:eastAsia="楷体_GB2312" w:cs="楷体_GB2312"/>
          <w:sz w:val="32"/>
          <w:szCs w:val="32"/>
          <w:lang w:val="en-US" w:eastAsia="zh-CN"/>
        </w:rPr>
      </w:pPr>
      <w:bookmarkStart w:id="4" w:name="_Toc1651056893"/>
      <w:r>
        <w:rPr>
          <w:rFonts w:hint="eastAsia" w:ascii="楷体_GB2312" w:hAnsi="楷体_GB2312" w:eastAsia="楷体_GB2312" w:cs="楷体_GB2312"/>
          <w:sz w:val="32"/>
          <w:szCs w:val="32"/>
          <w:lang w:val="en-US" w:eastAsia="zh-CN"/>
        </w:rPr>
        <w:t>（二）支出预算情况</w:t>
      </w:r>
      <w:bookmarkEnd w:id="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广元市科协2024年支出预算550.18万元，其中：基本支出455.35万元，占82.77%；项目支出94.83万元，占17.23%</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0"/>
        <w:rPr>
          <w:rFonts w:hint="eastAsia" w:ascii="黑体" w:hAnsi="黑体" w:eastAsia="黑体" w:cs="黑体"/>
          <w:sz w:val="32"/>
          <w:szCs w:val="32"/>
        </w:rPr>
      </w:pPr>
      <w:bookmarkStart w:id="5" w:name="_Toc1789004175"/>
      <w:r>
        <w:rPr>
          <w:rFonts w:hint="eastAsia" w:ascii="黑体" w:hAnsi="黑体" w:eastAsia="黑体" w:cs="黑体"/>
          <w:sz w:val="32"/>
          <w:szCs w:val="32"/>
          <w:lang w:val="en-US" w:eastAsia="zh-CN"/>
        </w:rPr>
        <w:t>四</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财政拨款收支预算情况说明</w:t>
      </w:r>
      <w:bookmarkEnd w:id="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广元市科协2024年财政拨款收支预算总数549.18万元,比2023年财政拨款收支预算总数增加34.42万元，主要原因是人员职务职级晋升，增加了人员经费。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收入包括：本年一般公共预算拨款收入549.18万元；支出包括：科学技术支出461.43万元、社会保障和就业支出40.91万元、卫生健康支出13.20万元、住房保障支出33.64万元。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0"/>
        <w:rPr>
          <w:rFonts w:hint="eastAsia" w:ascii="黑体" w:hAnsi="黑体" w:eastAsia="黑体" w:cs="黑体"/>
          <w:sz w:val="32"/>
          <w:szCs w:val="32"/>
          <w:lang w:val="en-US" w:eastAsia="zh-CN"/>
        </w:rPr>
      </w:pPr>
      <w:bookmarkStart w:id="6" w:name="_Toc161933319"/>
      <w:r>
        <w:rPr>
          <w:rFonts w:hint="eastAsia" w:ascii="黑体" w:hAnsi="黑体" w:eastAsia="黑体" w:cs="黑体"/>
          <w:sz w:val="32"/>
          <w:szCs w:val="32"/>
          <w:lang w:val="en-US" w:eastAsia="zh-CN"/>
        </w:rPr>
        <w:t>五</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一般公共预算当年拨款情况说明</w:t>
      </w:r>
      <w:bookmarkEnd w:id="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1"/>
        <w:rPr>
          <w:rFonts w:hint="eastAsia" w:ascii="楷体_GB2312" w:hAnsi="楷体_GB2312" w:eastAsia="楷体_GB2312" w:cs="楷体_GB2312"/>
          <w:sz w:val="32"/>
          <w:szCs w:val="32"/>
          <w:lang w:val="en-US" w:eastAsia="zh-CN"/>
        </w:rPr>
      </w:pPr>
      <w:bookmarkStart w:id="7" w:name="_Toc876799745"/>
      <w:r>
        <w:rPr>
          <w:rFonts w:hint="eastAsia" w:ascii="楷体_GB2312" w:hAnsi="楷体_GB2312" w:eastAsia="楷体_GB2312" w:cs="楷体_GB2312"/>
          <w:sz w:val="32"/>
          <w:szCs w:val="32"/>
          <w:lang w:val="en-US" w:eastAsia="zh-CN"/>
        </w:rPr>
        <w:t>（一）一般公共预算当年拨款规模变化情况</w:t>
      </w:r>
      <w:bookmarkEnd w:id="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2024年一般公共预算当年拨款549.18万元，比2023年预算数增加34.42万元，主要原因是人员职务职级晋升，增加了人员经费。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1"/>
        <w:rPr>
          <w:rFonts w:hint="eastAsia" w:ascii="楷体_GB2312" w:hAnsi="楷体_GB2312" w:eastAsia="楷体_GB2312" w:cs="楷体_GB2312"/>
          <w:sz w:val="32"/>
          <w:szCs w:val="32"/>
          <w:lang w:val="en-US" w:eastAsia="zh-CN"/>
        </w:rPr>
      </w:pPr>
      <w:bookmarkStart w:id="8" w:name="_Toc964000578"/>
      <w:r>
        <w:rPr>
          <w:rFonts w:hint="eastAsia" w:ascii="楷体_GB2312" w:hAnsi="楷体_GB2312" w:eastAsia="楷体_GB2312" w:cs="楷体_GB2312"/>
          <w:sz w:val="32"/>
          <w:szCs w:val="32"/>
          <w:lang w:val="en-US" w:eastAsia="zh-CN"/>
        </w:rPr>
        <w:t>（二）一般公共预算当年拨款结构情况</w:t>
      </w:r>
      <w:bookmarkEnd w:id="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科学技术支出461.43万元，占84.03%；社会保障和就业支出40.91万元，占7.45%；卫生健康支出13.20万元，占2.41%；住房保障支出33.64万元，占6.13%。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1"/>
        <w:rPr>
          <w:rFonts w:hint="eastAsia" w:ascii="楷体_GB2312" w:hAnsi="楷体_GB2312" w:eastAsia="楷体_GB2312" w:cs="楷体_GB2312"/>
          <w:sz w:val="32"/>
          <w:szCs w:val="32"/>
          <w:lang w:val="en-US" w:eastAsia="zh-CN"/>
        </w:rPr>
      </w:pPr>
      <w:bookmarkStart w:id="9" w:name="_Toc1709773671"/>
      <w:r>
        <w:rPr>
          <w:rFonts w:hint="eastAsia" w:ascii="楷体_GB2312" w:hAnsi="楷体_GB2312" w:eastAsia="楷体_GB2312" w:cs="楷体_GB2312"/>
          <w:sz w:val="32"/>
          <w:szCs w:val="32"/>
          <w:lang w:val="en-US" w:eastAsia="zh-CN"/>
        </w:rPr>
        <w:t>（三）一般公共预算当年拨款具体使用情况</w:t>
      </w:r>
      <w:bookmarkEnd w:id="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1.科学技术支出（类）科学技术管理事务（款）行政运行（项）2024年预算数为367.60万元，主要用于：工资福利支出、商品和服务支出、对个人和家庭的补助。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2.科学技术支出（类）科学技术管理事务（款）一般行政管理事务（项）2024年预算数为1.82万元，主要用于：保障驻村队员驻村期间的工作经费、差旅补助等。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3.科学技术支出（类）科学技术管理事务（款）其他科学技术管理事务支出（项）2024年预算数为19.01万元，主要用于：天府科技云服务中心运行维护。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4.科学技术支出（类）科学技术管理事务（款）科普活动（项）2024年预算数为20万元，主要用于：开展科普宣传交流、反邪防邪宣传、青少年科技教育等。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5.科学技术支出（类）科学技术管理事务（款）学术交流活动（项）2024年预算数为15万元，主要用于：开展学术交流和学会能力提升建设。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6.科学技术支出（类）科学技术管理事务（款）其他科学技术普及支出（项）2024年预算数为38万元，主要用于：院士专家工作站建设与绩效考评20万元、老科协工作经费18万元。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7.社会保障和就业（类）行政事业单位养老支出（款）机关事业单位基本养老保险缴费支出（项）2024年预算数为40.27万元，主要用于：实施养老保险制度由单位缴纳的基本养老保险支出。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8.社会保障和就业支出（类）其它社会保障和就业支出（款）其它社会保障和就业支出（项）2024</w:t>
      </w:r>
      <w:bookmarkStart w:id="29" w:name="_GoBack"/>
      <w:bookmarkEnd w:id="29"/>
      <w:r>
        <w:rPr>
          <w:rFonts w:hint="eastAsia" w:ascii="仿宋_GB2312" w:hAnsi="仿宋_GB2312" w:eastAsia="仿宋_GB2312" w:cs="仿宋_GB2312"/>
          <w:sz w:val="32"/>
          <w:szCs w:val="32"/>
          <w:lang w:val="en-US" w:eastAsia="zh-CN"/>
        </w:rPr>
        <w:t>年预算数为0.64万元，主要用于：实施养老保险制度由单位缴纳的其他用于社会保障和就业方面的支出。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9.卫生健康（类）行政事业单位医疗（款）行政单位医疗（项）2024年预算数为13.20万元，主要用于：按规定由单位缴纳的基本医疗保险支出。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10.住房保障（类）住房改革支出（款）住房公积金（项）2024年预算数为33.64万元，主要用于：按规定为职工缴纳的住房公积金支出。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0"/>
        <w:rPr>
          <w:rFonts w:hint="eastAsia" w:ascii="黑体" w:hAnsi="黑体" w:eastAsia="黑体" w:cs="黑体"/>
          <w:sz w:val="32"/>
          <w:szCs w:val="32"/>
          <w:lang w:val="en-US" w:eastAsia="zh-CN"/>
        </w:rPr>
      </w:pPr>
      <w:bookmarkStart w:id="10" w:name="_Toc1967053231"/>
      <w:r>
        <w:rPr>
          <w:rFonts w:hint="eastAsia" w:ascii="黑体" w:hAnsi="黑体" w:eastAsia="黑体" w:cs="黑体"/>
          <w:sz w:val="32"/>
          <w:szCs w:val="32"/>
          <w:lang w:val="en-US" w:eastAsia="zh-CN"/>
        </w:rPr>
        <w:t>六</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一般公共预算基本支出情况说明</w:t>
      </w:r>
      <w:bookmarkEnd w:id="1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广</w:t>
      </w:r>
      <w:r>
        <w:rPr>
          <w:rFonts w:hint="eastAsia" w:ascii="仿宋_GB2312" w:hAnsi="仿宋_GB2312" w:eastAsia="仿宋_GB2312" w:cs="仿宋_GB2312"/>
          <w:spacing w:val="-6"/>
          <w:sz w:val="32"/>
          <w:szCs w:val="32"/>
          <w:lang w:val="en-US" w:eastAsia="zh-CN"/>
        </w:rPr>
        <w:t>元市科协2024年一般公共预算基本支出455.35万元，其中：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人员经费396.28万元，主要包括：基本工资、津贴补贴、奖金、奖金、绩效工资、机关事业单位养老保险缴费、职工基本医</w:t>
      </w:r>
      <w:r>
        <w:rPr>
          <w:rFonts w:hint="eastAsia" w:ascii="仿宋_GB2312" w:hAnsi="仿宋_GB2312" w:eastAsia="仿宋_GB2312" w:cs="仿宋_GB2312"/>
          <w:spacing w:val="-6"/>
          <w:sz w:val="32"/>
          <w:szCs w:val="32"/>
          <w:lang w:val="en-US" w:eastAsia="zh-CN"/>
        </w:rPr>
        <w:t>疗保险缴费、其他社会保障缴费、住房公积金、生活补助等支出。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59.07万元，主要包括：办公费、印刷费、水费、电费、邮电费、差旅费、维修（护）费、会议费、培训费、公务接待费、劳务费、工会经费、福利费、公务用车运行维护费、其他交通费用、其他商品和服务等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0"/>
        <w:rPr>
          <w:rFonts w:hint="eastAsia" w:ascii="黑体" w:hAnsi="黑体" w:eastAsia="黑体" w:cs="黑体"/>
          <w:sz w:val="32"/>
          <w:szCs w:val="32"/>
        </w:rPr>
      </w:pPr>
      <w:bookmarkStart w:id="11" w:name="_Toc111345171"/>
      <w:r>
        <w:rPr>
          <w:rFonts w:hint="eastAsia" w:ascii="黑体" w:hAnsi="黑体" w:eastAsia="黑体" w:cs="黑体"/>
          <w:sz w:val="32"/>
          <w:szCs w:val="32"/>
          <w:lang w:val="en-US" w:eastAsia="zh-CN"/>
        </w:rPr>
        <w:t>七</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“三公”经费财政拨款预算安排情况说明</w:t>
      </w:r>
      <w:bookmarkEnd w:id="1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广元市科协2024年“三公”经费财政拨款预算数1.98万元，其中：公务接待费0.8万元，公务用车购置及运行维护费1.18万元，因公出国（境）经费0万元。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1"/>
        <w:rPr>
          <w:rFonts w:hint="eastAsia" w:ascii="楷体_GB2312" w:hAnsi="楷体_GB2312" w:eastAsia="楷体_GB2312" w:cs="楷体_GB2312"/>
          <w:sz w:val="32"/>
          <w:szCs w:val="32"/>
          <w:lang w:val="en-US" w:eastAsia="zh-CN"/>
        </w:rPr>
      </w:pPr>
      <w:bookmarkStart w:id="12" w:name="_Toc249902346"/>
      <w:r>
        <w:rPr>
          <w:rFonts w:hint="eastAsia" w:ascii="楷体_GB2312" w:hAnsi="楷体_GB2312" w:eastAsia="楷体_GB2312" w:cs="楷体_GB2312"/>
          <w:sz w:val="32"/>
          <w:szCs w:val="32"/>
          <w:lang w:val="en-US" w:eastAsia="zh-CN"/>
        </w:rPr>
        <w:t>（一）公务接待费</w:t>
      </w:r>
      <w:bookmarkEnd w:id="1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2024年公务接待费计划用于执行接待考察调研、检查指导等公务活动开支的交通费、住宿费、用餐费等。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outlineLvl w:val="1"/>
        <w:rPr>
          <w:rFonts w:hint="eastAsia" w:ascii="楷体_GB2312" w:hAnsi="楷体_GB2312" w:eastAsia="楷体_GB2312" w:cs="楷体_GB2312"/>
          <w:sz w:val="32"/>
          <w:szCs w:val="32"/>
          <w:lang w:val="en-US" w:eastAsia="zh-CN"/>
        </w:rPr>
      </w:pPr>
      <w:bookmarkStart w:id="13" w:name="_Toc1143174017"/>
      <w:r>
        <w:rPr>
          <w:rFonts w:hint="eastAsia" w:ascii="楷体_GB2312" w:hAnsi="楷体_GB2312" w:eastAsia="楷体_GB2312" w:cs="楷体_GB2312"/>
          <w:sz w:val="32"/>
          <w:szCs w:val="32"/>
          <w:lang w:val="en-US" w:eastAsia="zh-CN"/>
        </w:rPr>
        <w:t>（二）公务用车购置及运行维护费</w:t>
      </w:r>
      <w:bookmarkEnd w:id="13"/>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公务用车购置及运行维护费与2023年预算相比持平。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单位现有公务用车2辆，为</w:t>
      </w: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t>其他专业技术用车</w:t>
      </w:r>
      <w:r>
        <w:rPr>
          <w:rFonts w:hint="eastAsia" w:ascii="仿宋_GB2312" w:hAnsi="仿宋_GB2312" w:eastAsia="仿宋_GB2312" w:cs="仿宋_GB2312"/>
          <w:sz w:val="32"/>
          <w:szCs w:val="32"/>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2024年未安排公务用车购置费。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firstLine="668"/>
        <w:jc w:val="both"/>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2024年安排公务用车运行维护费1.18万元，用于2辆公务用车燃油、过路（桥）、维修、保险等方面支出，主要保障</w:t>
      </w: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t>主要保障公务用车保险、维修支出。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firstLine="668"/>
        <w:jc w:val="both"/>
        <w:textAlignment w:val="auto"/>
        <w:outlineLvl w:val="1"/>
        <w:rPr>
          <w:rFonts w:hint="default" w:ascii="仿宋_GB2312" w:hAnsi="仿宋_GB2312" w:eastAsia="仿宋_GB2312" w:cs="仿宋_GB2312"/>
          <w:sz w:val="32"/>
          <w:szCs w:val="32"/>
          <w:lang w:val="en-US" w:eastAsia="zh-CN"/>
        </w:rPr>
      </w:pPr>
      <w:bookmarkStart w:id="14" w:name="_Toc2106548397"/>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三）因公出国（境）经费</w:t>
      </w:r>
      <w:bookmarkEnd w:id="1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firstLine="668"/>
        <w:jc w:val="both"/>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t>本年未安排因公出国（境）经费</w:t>
      </w:r>
      <w:r>
        <w:rPr>
          <w:rFonts w:hint="default" w:ascii="仿宋_GB2312" w:hAnsi="仿宋_GB2312" w:eastAsia="仿宋_GB2312" w:cs="仿宋_GB2312"/>
          <w:b w:val="0"/>
          <w:bCs/>
          <w:i w:val="0"/>
          <w:caps w:val="0"/>
          <w:color w:val="333333"/>
          <w:spacing w:val="0"/>
          <w:kern w:val="0"/>
          <w:sz w:val="32"/>
          <w:szCs w:val="32"/>
          <w:shd w:val="clear" w:color="auto" w:fill="FFFFFF"/>
          <w:lang w:val="en-US" w:eastAsia="zh-CN" w:bidi="ar"/>
        </w:rPr>
        <w:t>,</w:t>
      </w:r>
      <w:r>
        <w:rPr>
          <w:rFonts w:hint="eastAsia" w:ascii="仿宋_GB2312" w:hAnsi="仿宋_GB2312" w:eastAsia="仿宋_GB2312" w:cs="仿宋_GB2312"/>
          <w:sz w:val="32"/>
          <w:szCs w:val="32"/>
          <w:lang w:val="en-US" w:eastAsia="zh-CN"/>
        </w:rPr>
        <w:t>与2023年预算相比持平</w:t>
      </w: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firstLine="668"/>
        <w:jc w:val="both"/>
        <w:textAlignment w:val="auto"/>
        <w:outlineLvl w:val="0"/>
        <w:rPr>
          <w:rFonts w:hint="eastAsia" w:ascii="黑体" w:hAnsi="黑体" w:eastAsia="黑体" w:cs="黑体"/>
          <w:sz w:val="32"/>
          <w:szCs w:val="32"/>
          <w:lang w:val="en-US" w:eastAsia="zh-CN"/>
        </w:rPr>
      </w:pPr>
      <w:bookmarkStart w:id="15" w:name="_Toc1324716779"/>
      <w:r>
        <w:rPr>
          <w:rFonts w:hint="eastAsia" w:ascii="黑体" w:hAnsi="黑体" w:eastAsia="黑体" w:cs="黑体"/>
          <w:sz w:val="32"/>
          <w:szCs w:val="32"/>
          <w:lang w:val="en-US" w:eastAsia="zh-CN"/>
        </w:rPr>
        <w:t>八</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政府性基金预算支出情况说明</w:t>
      </w:r>
      <w:bookmarkEnd w:id="15"/>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广元市</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科协2024年无政府性基金预算拨款安排的支出。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6" w:name="_Toc1453208710"/>
      <w:r>
        <w:rPr>
          <w:rFonts w:hint="eastAsia" w:ascii="黑体" w:hAnsi="黑体" w:eastAsia="黑体" w:cs="黑体"/>
          <w:sz w:val="32"/>
          <w:szCs w:val="32"/>
          <w:lang w:val="en-US" w:eastAsia="zh-CN"/>
        </w:rPr>
        <w:t>九</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国有资本经营预算支出情况说明</w:t>
      </w:r>
      <w:bookmarkEnd w:id="16"/>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广元市科协2024年无国有资本经营预算拨款安排的支出。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7" w:name="_Toc94959458"/>
      <w:r>
        <w:rPr>
          <w:rFonts w:hint="eastAsia" w:ascii="黑体" w:hAnsi="黑体" w:eastAsia="黑体" w:cs="黑体"/>
          <w:sz w:val="32"/>
          <w:szCs w:val="32"/>
          <w:lang w:val="en-US" w:eastAsia="zh-CN"/>
        </w:rPr>
        <w:t>十</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其他重要事项的情况说明</w:t>
      </w:r>
      <w:bookmarkEnd w:id="17"/>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18" w:name="_Toc1429552565"/>
      <w:r>
        <w:rPr>
          <w:rFonts w:hint="eastAsia" w:ascii="楷体_GB2312" w:hAnsi="楷体_GB2312" w:eastAsia="楷体_GB2312" w:cs="楷体_GB2312"/>
          <w:sz w:val="32"/>
          <w:szCs w:val="32"/>
          <w:lang w:val="en-US" w:eastAsia="zh-CN"/>
        </w:rPr>
        <w:t>（一）机关运行经费</w:t>
      </w:r>
      <w:bookmarkEnd w:id="18"/>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 xml:space="preserve">2024年，广元市科协机关运行经费财政拨款预算为59.07万元，比2023年预算增加3.35万元，增长5.68%。主要原因是其他交通费用、其他商品服务支出增加。   </w:t>
      </w:r>
      <w: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lang w:val="en-US" w:eastAsia="zh-CN"/>
        </w:rPr>
      </w:pPr>
      <w:bookmarkStart w:id="19" w:name="_Toc1323430690"/>
      <w:r>
        <w:rPr>
          <w:rFonts w:hint="eastAsia" w:ascii="仿宋_GB2312" w:hAnsi="仿宋_GB2312" w:eastAsia="仿宋_GB2312" w:cs="仿宋_GB2312"/>
          <w:sz w:val="32"/>
          <w:szCs w:val="32"/>
          <w:lang w:val="en-US" w:eastAsia="zh-CN"/>
        </w:rPr>
        <w:t>（二）政府采购情况</w:t>
      </w:r>
      <w:bookmarkEnd w:id="19"/>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2024年，广元市科协安排政府采购预算0万元。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20" w:name="_Toc1075050999"/>
      <w:r>
        <w:rPr>
          <w:rFonts w:hint="eastAsia" w:ascii="楷体_GB2312" w:hAnsi="楷体_GB2312" w:eastAsia="楷体_GB2312" w:cs="楷体_GB2312"/>
          <w:sz w:val="32"/>
          <w:szCs w:val="32"/>
          <w:lang w:val="en-US" w:eastAsia="zh-CN"/>
        </w:rPr>
        <w:t>（三）国有资产占有使用情况</w:t>
      </w:r>
      <w:bookmarkEnd w:id="20"/>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截至2023年底，广元市科协共有定向保障用车2辆。单位无价值200万元以上的大型设备。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2024年部门预算未安排购置车辆及单位价值200万元以上大型设备。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21" w:name="_Toc71423886"/>
      <w:r>
        <w:rPr>
          <w:rFonts w:hint="eastAsia" w:ascii="楷体_GB2312" w:hAnsi="楷体_GB2312" w:eastAsia="楷体_GB2312" w:cs="楷体_GB2312"/>
          <w:sz w:val="32"/>
          <w:szCs w:val="32"/>
          <w:lang w:val="en-US" w:eastAsia="zh-CN"/>
        </w:rPr>
        <w:t>（四）绩效目标设置情况</w:t>
      </w:r>
      <w:bookmarkEnd w:id="21"/>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2024年广元市科协开展绩效目标管理的项目9个，涉及预算550.18万元。其中：人员类项目1个，涉及预算 396.28万元；运转类项目1个，涉及预算59.07万元；特定目标类项目7个，涉及预算94.83万元。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22" w:name="_Toc1004290052"/>
      <w:r>
        <w:rPr>
          <w:rFonts w:hint="eastAsia" w:ascii="黑体" w:hAnsi="黑体" w:eastAsia="黑体" w:cs="黑体"/>
          <w:sz w:val="32"/>
          <w:szCs w:val="32"/>
          <w:lang w:val="en-US" w:eastAsia="zh-CN"/>
        </w:rPr>
        <w:t>十一</w:t>
      </w:r>
      <w:r>
        <w:rPr>
          <w:rFonts w:hint="eastAsia" w:asciiTheme="majorEastAsia" w:hAnsiTheme="majorEastAsia" w:eastAsiaTheme="majorEastAsia" w:cstheme="majorEastAsia"/>
          <w:sz w:val="32"/>
          <w:szCs w:val="32"/>
          <w:lang w:val="en-US" w:eastAsia="zh-CN"/>
        </w:rPr>
        <w:t>、</w:t>
      </w:r>
      <w:r>
        <w:rPr>
          <w:rFonts w:hint="eastAsia" w:ascii="黑体" w:hAnsi="黑体" w:eastAsia="黑体" w:cs="黑体"/>
          <w:sz w:val="32"/>
          <w:szCs w:val="32"/>
          <w:lang w:val="en-US" w:eastAsia="zh-CN"/>
        </w:rPr>
        <w:t>名词解释</w:t>
      </w:r>
      <w:bookmarkEnd w:id="22"/>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（二）其他收入：指除上述“一般公共预算拨款收入” 以外的收入。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（三）科学技术支出（类）科学技术管理事务（款）行政运行（项）指机关单位用于保障机构正常运行、开展日常工作的基本支出。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（四）科学技术支出（类）科学技术管理事务（款）科普活动（项）指机关单位开展科普活动项目的支出。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（五）科学技术支出（类）科学技术管理事务（款）学术交流活动（项）指机关单位开展学术交流活动项目的支出。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（六）科学技术支出（类）科学技术管理事务（款）学其他科学技术普及支出（项）指机关单位开展院士专家工作站建设与绩效考评、老科协工作项目的支出。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（七）科学技术支出（类）科学技术管理事务（款）其他科</w:t>
      </w:r>
      <w:r>
        <w:rPr>
          <w:rFonts w:hint="eastAsia" w:ascii="仿宋_GB2312" w:hAnsi="仿宋_GB2312" w:eastAsia="仿宋_GB2312" w:cs="仿宋_GB2312"/>
          <w:spacing w:val="-11"/>
          <w:sz w:val="32"/>
          <w:szCs w:val="32"/>
          <w:lang w:val="en-US" w:eastAsia="zh-CN"/>
        </w:rPr>
        <w:t>学技术管理事务（项）指机关开展天府科技云服务运维项目的支出。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（八）科学技术支出（类）科学技术管理事务（款）一般行政管理事务（项）指机关单位开展乡村振兴工作项目的支出。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（九）社会保障和就业（类）行政事业单位养老支出（款）机关事业单位基本养老保险缴费支出（项）指实施养老保险制度由单位缴纳的基本养老保险支出。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（十）社会保障和就业（类）行政事业单位养老支出（款）其他社会保障和就业支出（项）主要用于：按规定由单位缴纳的失业、工伤等其他社会保障和就业支出。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（十一）卫生健康（类）行政事业单位医疗（款）行政单位医疗（项）指机关及下属事业单位按规定由单位缴纳的基本医疗保险支出。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（十二）住房保障（类）住房改革支出（款）住房公积金（项）指部门按规定为职工缴纳的住房公积金支出。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（十三）基本支出：指为保证机构正常运转，完成日常工作任务而发生的人员支出和公用支出。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（十四）项目支出：指在基本支出之外为完成特定行政任务和事业发展目标所发生的支出。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三公”经费：纳入部门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机关运行经费：为保障行政单位（包括下属事业单位）运行用于购买货物和服务的各项资金，包括办公及印刷费、邮电费、差旅费、会议费、培训费、福利费、日常维修费、办公用房水电费、公务用车运行维护费以及其他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val="en-US" w:eastAsia="zh-CN"/>
        </w:rPr>
      </w:pPr>
      <w:bookmarkStart w:id="23" w:name="_Toc259107685"/>
      <w:bookmarkStart w:id="24" w:name="_Toc1326733825"/>
      <w:r>
        <w:rPr>
          <w:rFonts w:hint="eastAsia" w:ascii="仿宋_GB2312" w:hAnsi="仿宋_GB2312" w:eastAsia="仿宋_GB2312" w:cs="仿宋_GB2312"/>
          <w:sz w:val="32"/>
          <w:szCs w:val="32"/>
          <w:lang w:val="en-US" w:eastAsia="zh-CN"/>
        </w:rPr>
        <w:t>附件：1.部门预算公开表</w:t>
      </w:r>
      <w:bookmarkEnd w:id="23"/>
      <w:bookmarkEnd w:id="24"/>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1600" w:firstLineChars="500"/>
        <w:jc w:val="both"/>
        <w:textAlignment w:val="auto"/>
        <w:outlineLvl w:val="0"/>
        <w:rPr>
          <w:rFonts w:hint="eastAsia" w:ascii="仿宋_GB2312" w:hAnsi="仿宋_GB2312" w:eastAsia="仿宋_GB2312" w:cs="仿宋_GB2312"/>
          <w:sz w:val="32"/>
          <w:szCs w:val="32"/>
          <w:lang w:val="en-US" w:eastAsia="zh-CN"/>
        </w:rPr>
      </w:pPr>
      <w:bookmarkStart w:id="25" w:name="_Toc1819847829"/>
      <w:bookmarkStart w:id="26" w:name="_Toc1505216327"/>
      <w:r>
        <w:rPr>
          <w:rFonts w:hint="eastAsia" w:ascii="仿宋_GB2312" w:hAnsi="仿宋_GB2312" w:eastAsia="仿宋_GB2312" w:cs="仿宋_GB2312"/>
          <w:sz w:val="32"/>
          <w:szCs w:val="32"/>
          <w:lang w:val="en-US" w:eastAsia="zh-CN"/>
        </w:rPr>
        <w:t>部门整体支出绩效目标申报表预算</w:t>
      </w:r>
      <w:bookmarkEnd w:id="25"/>
      <w:bookmarkEnd w:id="26"/>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Autospacing="0" w:after="0" w:afterAutospacing="0" w:line="576" w:lineRule="exact"/>
        <w:ind w:left="0" w:leftChars="0" w:right="0" w:rightChars="0" w:firstLine="1600" w:firstLineChars="500"/>
        <w:jc w:val="both"/>
        <w:textAlignment w:val="auto"/>
        <w:outlineLvl w:val="0"/>
        <w:rPr>
          <w:rFonts w:hint="eastAsia"/>
          <w:lang w:val="en-US" w:eastAsia="zh-CN"/>
        </w:rPr>
      </w:pPr>
      <w:bookmarkStart w:id="27" w:name="_Toc1644477517"/>
      <w:bookmarkStart w:id="28" w:name="_Toc902753182"/>
      <w:r>
        <w:rPr>
          <w:rFonts w:hint="eastAsia" w:ascii="仿宋_GB2312" w:hAnsi="仿宋_GB2312" w:eastAsia="仿宋_GB2312" w:cs="仿宋_GB2312"/>
          <w:sz w:val="32"/>
          <w:szCs w:val="32"/>
          <w:lang w:val="en-US" w:eastAsia="zh-CN"/>
        </w:rPr>
        <w:t>项目绩效目标申报表</w:t>
      </w:r>
      <w:bookmarkEnd w:id="27"/>
      <w:bookmarkEnd w:id="28"/>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val="0"/>
        <w:topLinePunct/>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autoSpaceDE/>
        <w:autoSpaceDN/>
        <w:bidi w:val="0"/>
        <w:adjustRightInd w:val="0"/>
        <w:snapToGrid w:val="0"/>
        <w:spacing w:beforeAutospacing="0" w:after="0" w:afterAutospacing="0" w:line="576" w:lineRule="exact"/>
        <w:ind w:left="0" w:leftChars="0" w:right="0" w:firstLine="642" w:firstLineChars="200"/>
        <w:jc w:val="both"/>
        <w:textAlignment w:val="auto"/>
        <w:rPr>
          <w:rFonts w:hint="eastAsia" w:ascii="仿宋_GB2312" w:hAnsi="仿宋_GB2312" w:eastAsia="仿宋_GB2312" w:cs="仿宋_GB2312"/>
          <w:b/>
          <w:bCs/>
          <w:sz w:val="32"/>
          <w:szCs w:val="32"/>
          <w:lang w:eastAsia="zh-CN"/>
        </w:rPr>
      </w:pP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iberation Sans">
    <w:altName w:val="Arial"/>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ECB31"/>
    <w:multiLevelType w:val="singleLevel"/>
    <w:tmpl w:val="1F8ECB3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2RjYzA2NWNkNjNhZDhjZjcyNTM5ZmE3ODQxOWQifQ=="/>
  </w:docVars>
  <w:rsids>
    <w:rsidRoot w:val="00000000"/>
    <w:rsid w:val="012352D1"/>
    <w:rsid w:val="0F4BACEF"/>
    <w:rsid w:val="0F7D6650"/>
    <w:rsid w:val="14F94F25"/>
    <w:rsid w:val="16DF0C62"/>
    <w:rsid w:val="1ED30EB7"/>
    <w:rsid w:val="1F7BF06F"/>
    <w:rsid w:val="1FEE4B73"/>
    <w:rsid w:val="1FFC1BD7"/>
    <w:rsid w:val="21FCCAD0"/>
    <w:rsid w:val="23CE9849"/>
    <w:rsid w:val="29640B6C"/>
    <w:rsid w:val="2E9E5F13"/>
    <w:rsid w:val="2EFFF4B5"/>
    <w:rsid w:val="2FCB1B4E"/>
    <w:rsid w:val="31677A82"/>
    <w:rsid w:val="3577C6E9"/>
    <w:rsid w:val="37D8306E"/>
    <w:rsid w:val="387AD63F"/>
    <w:rsid w:val="39F304DD"/>
    <w:rsid w:val="3B3F90C2"/>
    <w:rsid w:val="3B4B16EA"/>
    <w:rsid w:val="3B7BB5DA"/>
    <w:rsid w:val="3BB87A02"/>
    <w:rsid w:val="3BBE85A6"/>
    <w:rsid w:val="3BF772B1"/>
    <w:rsid w:val="3DAC8C35"/>
    <w:rsid w:val="3DBDA238"/>
    <w:rsid w:val="3EDB26B7"/>
    <w:rsid w:val="3F4DBD37"/>
    <w:rsid w:val="3F5FB474"/>
    <w:rsid w:val="3F7C435F"/>
    <w:rsid w:val="3FAFEAC2"/>
    <w:rsid w:val="3FBA7E3A"/>
    <w:rsid w:val="3FD3609A"/>
    <w:rsid w:val="3FFAFB41"/>
    <w:rsid w:val="3FFB80B0"/>
    <w:rsid w:val="3FFF7724"/>
    <w:rsid w:val="4B4B108C"/>
    <w:rsid w:val="4FEFF739"/>
    <w:rsid w:val="4FF671F2"/>
    <w:rsid w:val="54244390"/>
    <w:rsid w:val="54662A63"/>
    <w:rsid w:val="565A993A"/>
    <w:rsid w:val="56DE759F"/>
    <w:rsid w:val="56FD312F"/>
    <w:rsid w:val="58064E12"/>
    <w:rsid w:val="5B3FC6EB"/>
    <w:rsid w:val="5BFEE015"/>
    <w:rsid w:val="5D4E792D"/>
    <w:rsid w:val="5DE3BAE5"/>
    <w:rsid w:val="5E2F4147"/>
    <w:rsid w:val="5EBFCC17"/>
    <w:rsid w:val="5EFF3E6C"/>
    <w:rsid w:val="5F7A0962"/>
    <w:rsid w:val="5F7F257E"/>
    <w:rsid w:val="5FE59B6B"/>
    <w:rsid w:val="63EDCF55"/>
    <w:rsid w:val="63FBFBCF"/>
    <w:rsid w:val="669360FD"/>
    <w:rsid w:val="676EEB7A"/>
    <w:rsid w:val="68FF6A83"/>
    <w:rsid w:val="69F622EF"/>
    <w:rsid w:val="6C7E94AA"/>
    <w:rsid w:val="6D7B74C2"/>
    <w:rsid w:val="6E5E7BA9"/>
    <w:rsid w:val="6EDFCC38"/>
    <w:rsid w:val="6F3FE584"/>
    <w:rsid w:val="6FBBC9CF"/>
    <w:rsid w:val="6FF917F2"/>
    <w:rsid w:val="6FFC1169"/>
    <w:rsid w:val="6FFCD71B"/>
    <w:rsid w:val="717FF672"/>
    <w:rsid w:val="72BDE561"/>
    <w:rsid w:val="731544CF"/>
    <w:rsid w:val="74D79FEF"/>
    <w:rsid w:val="75B817AA"/>
    <w:rsid w:val="75BF56AF"/>
    <w:rsid w:val="75DE65E0"/>
    <w:rsid w:val="77EA6FA3"/>
    <w:rsid w:val="77F3BAEF"/>
    <w:rsid w:val="77F5F0C7"/>
    <w:rsid w:val="78462278"/>
    <w:rsid w:val="7997EA6C"/>
    <w:rsid w:val="79CB3D02"/>
    <w:rsid w:val="79EB16D5"/>
    <w:rsid w:val="79FD76A3"/>
    <w:rsid w:val="79FF20B1"/>
    <w:rsid w:val="7AEAE675"/>
    <w:rsid w:val="7B3FAC2F"/>
    <w:rsid w:val="7BAFCE5D"/>
    <w:rsid w:val="7BEE78FF"/>
    <w:rsid w:val="7BFD5C02"/>
    <w:rsid w:val="7BFF3C72"/>
    <w:rsid w:val="7C6B733F"/>
    <w:rsid w:val="7D46598C"/>
    <w:rsid w:val="7DBF2BBF"/>
    <w:rsid w:val="7DFB240B"/>
    <w:rsid w:val="7DFF808C"/>
    <w:rsid w:val="7E0935ED"/>
    <w:rsid w:val="7EFB99FC"/>
    <w:rsid w:val="7EFCF6DA"/>
    <w:rsid w:val="7F1F5026"/>
    <w:rsid w:val="7F7D0753"/>
    <w:rsid w:val="7F9569A5"/>
    <w:rsid w:val="7FCF2AF7"/>
    <w:rsid w:val="7FCF7996"/>
    <w:rsid w:val="7FCFE33B"/>
    <w:rsid w:val="7FE95F47"/>
    <w:rsid w:val="7FF3E768"/>
    <w:rsid w:val="7FFB7C3A"/>
    <w:rsid w:val="7FFF7F92"/>
    <w:rsid w:val="7FFFF6D3"/>
    <w:rsid w:val="87FA2C18"/>
    <w:rsid w:val="8F7F504C"/>
    <w:rsid w:val="9FEF033D"/>
    <w:rsid w:val="A27FF1E5"/>
    <w:rsid w:val="AC1A97AE"/>
    <w:rsid w:val="AD136BEC"/>
    <w:rsid w:val="AE1A2F6B"/>
    <w:rsid w:val="AFDEB5A7"/>
    <w:rsid w:val="AFEA7FBF"/>
    <w:rsid w:val="B1FACF30"/>
    <w:rsid w:val="B3DFA8AE"/>
    <w:rsid w:val="B3EF35A6"/>
    <w:rsid w:val="B6FD661C"/>
    <w:rsid w:val="B77EB04D"/>
    <w:rsid w:val="B7CF4E39"/>
    <w:rsid w:val="B7F37128"/>
    <w:rsid w:val="B7FF937A"/>
    <w:rsid w:val="B7FFBF7D"/>
    <w:rsid w:val="B83F4767"/>
    <w:rsid w:val="B96EFD22"/>
    <w:rsid w:val="BCDD5CB6"/>
    <w:rsid w:val="BD7FCB1A"/>
    <w:rsid w:val="BE65292C"/>
    <w:rsid w:val="BEDDD97B"/>
    <w:rsid w:val="BF930F07"/>
    <w:rsid w:val="BFAF709A"/>
    <w:rsid w:val="BFBF134A"/>
    <w:rsid w:val="BFCE8436"/>
    <w:rsid w:val="BFDB1E87"/>
    <w:rsid w:val="BFDFB23B"/>
    <w:rsid w:val="BFF35A5B"/>
    <w:rsid w:val="BFFDD6D6"/>
    <w:rsid w:val="BFFF7575"/>
    <w:rsid w:val="C3F7EB7A"/>
    <w:rsid w:val="C5798BB0"/>
    <w:rsid w:val="C755624C"/>
    <w:rsid w:val="C99FD6E5"/>
    <w:rsid w:val="CC456C4E"/>
    <w:rsid w:val="CEFFAD3C"/>
    <w:rsid w:val="CFDDF5F7"/>
    <w:rsid w:val="CFF5FEEC"/>
    <w:rsid w:val="D3DD9064"/>
    <w:rsid w:val="D67F7D60"/>
    <w:rsid w:val="D6F76A0C"/>
    <w:rsid w:val="D7ECE8D2"/>
    <w:rsid w:val="D7EDAEAB"/>
    <w:rsid w:val="DA7FB7B7"/>
    <w:rsid w:val="DBEFD102"/>
    <w:rsid w:val="DCF4A41C"/>
    <w:rsid w:val="DCFBD4FE"/>
    <w:rsid w:val="DDF6618B"/>
    <w:rsid w:val="DEFED0C5"/>
    <w:rsid w:val="DFBDFFDC"/>
    <w:rsid w:val="DFDD4FB5"/>
    <w:rsid w:val="DFDFAEB7"/>
    <w:rsid w:val="DFF14FCD"/>
    <w:rsid w:val="E7F65792"/>
    <w:rsid w:val="E7F748B5"/>
    <w:rsid w:val="EB7BA750"/>
    <w:rsid w:val="EBFB70C6"/>
    <w:rsid w:val="EDF700E3"/>
    <w:rsid w:val="EE5F3713"/>
    <w:rsid w:val="EE631F2B"/>
    <w:rsid w:val="EE7BAEEC"/>
    <w:rsid w:val="EFC9D62C"/>
    <w:rsid w:val="EFF21348"/>
    <w:rsid w:val="F6BE9755"/>
    <w:rsid w:val="F6D46CC1"/>
    <w:rsid w:val="F6EF72C0"/>
    <w:rsid w:val="F6F7D052"/>
    <w:rsid w:val="F6FFA89B"/>
    <w:rsid w:val="F76F0254"/>
    <w:rsid w:val="F77F5DAB"/>
    <w:rsid w:val="F78E7280"/>
    <w:rsid w:val="F7AEDE8E"/>
    <w:rsid w:val="F7DCA02A"/>
    <w:rsid w:val="F7FBC578"/>
    <w:rsid w:val="F8F38A36"/>
    <w:rsid w:val="FAE4EFE1"/>
    <w:rsid w:val="FB9B6F12"/>
    <w:rsid w:val="FBB66A4A"/>
    <w:rsid w:val="FBD789A1"/>
    <w:rsid w:val="FBEF9CE6"/>
    <w:rsid w:val="FBFFE6C1"/>
    <w:rsid w:val="FCFA56D4"/>
    <w:rsid w:val="FD7F6474"/>
    <w:rsid w:val="FDBEFF6D"/>
    <w:rsid w:val="FDE79FB3"/>
    <w:rsid w:val="FDEB98BE"/>
    <w:rsid w:val="FDEE6989"/>
    <w:rsid w:val="FDFFC7CE"/>
    <w:rsid w:val="FEEF7ED1"/>
    <w:rsid w:val="FF1A8EE3"/>
    <w:rsid w:val="FF5E7DB8"/>
    <w:rsid w:val="FF5F97BD"/>
    <w:rsid w:val="FF6FA101"/>
    <w:rsid w:val="FF725597"/>
    <w:rsid w:val="FF77E367"/>
    <w:rsid w:val="FFAE9018"/>
    <w:rsid w:val="FFCF703C"/>
    <w:rsid w:val="FFD576EB"/>
    <w:rsid w:val="FFEF9A5C"/>
    <w:rsid w:val="FFF71386"/>
    <w:rsid w:val="FFF959E5"/>
    <w:rsid w:val="FFFB2AC3"/>
    <w:rsid w:val="FFFBE8B7"/>
    <w:rsid w:val="FFFF0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qFormat/>
    <w:uiPriority w:val="0"/>
    <w:pPr>
      <w:spacing w:after="120" w:line="240" w:lineRule="auto"/>
      <w:ind w:firstLine="100" w:firstLineChars="100"/>
    </w:p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2"/>
    <w:qFormat/>
    <w:uiPriority w:val="0"/>
  </w:style>
  <w:style w:type="paragraph" w:styleId="8">
    <w:name w:val="Normal (Web)"/>
    <w:basedOn w:val="1"/>
    <w:qFormat/>
    <w:uiPriority w:val="0"/>
    <w:rPr>
      <w:sz w:val="24"/>
    </w:rPr>
  </w:style>
  <w:style w:type="character" w:customStyle="1" w:styleId="11">
    <w:name w:val="默认段落字体1"/>
    <w:qFormat/>
    <w:uiPriority w:val="0"/>
  </w:style>
  <w:style w:type="paragraph" w:customStyle="1" w:styleId="12">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2018-12-01T17:47:00Z</dcterms:created>
  <dc:creator>admin</dc:creator>
  <cp:lastModifiedBy>user</cp:lastModifiedBy>
  <dcterms:modified xsi:type="dcterms:W3CDTF">2024-03-28T11:22:48Z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96081F72B7444D3C8C1C7DDAED24732C_13</vt:lpwstr>
  </property>
</Properties>
</file>