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top w:val="none" w:color="auto" w:sz="0" w:space="0"/>
          <w:left w:val="none" w:color="auto" w:sz="0" w:space="0"/>
          <w:bottom w:val="none" w:color="auto" w:sz="0" w:space="0"/>
          <w:right w:val="none" w:color="auto" w:sz="0" w:space="0"/>
        </w:pBdr>
        <w:shd w:val="clear" w:color="auto" w:fill="FFFFFF"/>
        <w:snapToGrid w:val="0"/>
        <w:spacing w:after="120" w:afterAutospacing="0" w:line="240" w:lineRule="exact"/>
        <w:ind w:left="0"/>
        <w:jc w:val="both"/>
        <w:rPr>
          <w:rFonts w:ascii="方正小标宋_GBK" w:eastAsia="方正小标宋_GBK"/>
          <w:caps w:val="0"/>
          <w:smallCaps w:val="0"/>
          <w:vanish w:val="0"/>
          <w:color w:val="000000"/>
          <w:spacing w:val="0"/>
          <w:sz w:val="44"/>
          <w:szCs w:val="44"/>
        </w:rPr>
      </w:pPr>
    </w:p>
    <w:p>
      <w:pPr>
        <w:rPr>
          <w:rFonts w:hint="eastAsia" w:ascii="方正仿宋_GBK" w:eastAsia="方正仿宋_GBK" w:cs="宋体"/>
          <w:sz w:val="30"/>
          <w:szCs w:val="30"/>
        </w:rPr>
      </w:pPr>
      <w:bookmarkStart w:id="0" w:name="_GoBack"/>
      <w:bookmarkEnd w:id="0"/>
      <w:r>
        <w:rPr>
          <w:rFonts w:hint="eastAsia" w:ascii="方正仿宋_GBK" w:eastAsia="方正仿宋_GBK" w:cs="宋体"/>
          <w:sz w:val="30"/>
          <w:szCs w:val="30"/>
          <w:lang w:eastAsia="zh-CN" w:bidi="ar-SA"/>
        </w:rPr>
        <w:t>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jc w:val="center"/>
        <w:rPr>
          <w:rFonts w:ascii="方正小标宋简体" w:eastAsia="方正小标宋简体" w:cs="方正小标宋简体"/>
          <w:vanish w:val="0"/>
          <w:color w:val="auto"/>
          <w:kern w:val="0"/>
          <w:sz w:val="44"/>
          <w:szCs w:val="44"/>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jc w:val="both"/>
        <w:rPr>
          <w:rFonts w:hint="eastAsia" w:ascii="方正小标宋简体" w:eastAsia="方正小标宋简体" w:cs="方正小标宋简体"/>
          <w:kern w:val="0"/>
          <w:sz w:val="44"/>
          <w:szCs w:val="44"/>
        </w:rPr>
      </w:pPr>
      <w:r>
        <w:rPr>
          <w:rFonts w:hint="eastAsia" w:ascii="方正小标宋简体" w:eastAsia="方正小标宋简体" w:cs="方正小标宋简体"/>
          <w:vanish w:val="0"/>
          <w:color w:val="auto"/>
          <w:kern w:val="0"/>
          <w:sz w:val="44"/>
          <w:szCs w:val="44"/>
        </w:rPr>
        <w:t>2024年广元市优秀科技论文</w:t>
      </w:r>
      <w:r>
        <w:rPr>
          <w:rFonts w:hint="eastAsia" w:ascii="方正小标宋简体" w:eastAsia="方正小标宋简体" w:cs="方正小标宋简体"/>
          <w:vanish w:val="0"/>
          <w:color w:val="auto"/>
          <w:kern w:val="0"/>
          <w:sz w:val="44"/>
          <w:szCs w:val="44"/>
          <w:lang w:eastAsia="zh-CN"/>
        </w:rPr>
        <w:t>评选结果</w:t>
      </w:r>
      <w:r>
        <w:rPr>
          <w:rFonts w:ascii="方正小标宋简体" w:eastAsia="方正小标宋简体" w:cs="方正小标宋简体"/>
          <w:vanish w:val="0"/>
          <w:color w:val="auto"/>
          <w:kern w:val="0"/>
          <w:sz w:val="44"/>
          <w:szCs w:val="44"/>
          <w:lang w:eastAsia="zh-CN"/>
        </w:rPr>
        <w:t>名单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jc w:val="both"/>
        <w:rPr>
          <w:rFonts w:hint="eastAsia" w:ascii="方正黑体_GBK" w:eastAsia="方正黑体_GBK" w:cs="方正黑体_GBK"/>
          <w:vanish w:val="0"/>
          <w:color w:val="auto"/>
          <w:kern w:val="0"/>
          <w:sz w:val="36"/>
          <w:szCs w:val="36"/>
          <w:lang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jc w:val="both"/>
        <w:rPr>
          <w:rFonts w:hint="eastAsia" w:ascii="方正黑体_GBK" w:eastAsia="方正黑体_GBK" w:cs="方正黑体_GBK"/>
          <w:vanish w:val="0"/>
          <w:color w:val="auto"/>
          <w:kern w:val="0"/>
          <w:sz w:val="36"/>
          <w:szCs w:val="36"/>
        </w:rPr>
      </w:pPr>
      <w:r>
        <w:rPr>
          <w:rFonts w:hint="eastAsia" w:ascii="方正黑体_GBK" w:eastAsia="方正黑体_GBK" w:cs="方正黑体_GBK"/>
          <w:vanish w:val="0"/>
          <w:color w:val="auto"/>
          <w:kern w:val="0"/>
          <w:sz w:val="36"/>
          <w:szCs w:val="36"/>
          <w:lang w:eastAsia="zh-CN"/>
        </w:rPr>
        <w:t>一、</w:t>
      </w:r>
      <w:r>
        <w:rPr>
          <w:rFonts w:hint="eastAsia" w:ascii="方正黑体_GBK" w:eastAsia="方正黑体_GBK" w:cs="方正黑体_GBK"/>
          <w:vanish w:val="0"/>
          <w:color w:val="auto"/>
          <w:kern w:val="0"/>
          <w:sz w:val="36"/>
          <w:szCs w:val="36"/>
        </w:rPr>
        <w:t>理工类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200" w:lineRule="exact"/>
        <w:jc w:val="both"/>
        <w:rPr>
          <w:rFonts w:ascii="Times New Roman" w:hAnsi="Times New Roman" w:eastAsia="黑体"/>
          <w:vanish w:val="0"/>
          <w:color w:val="auto"/>
          <w:kern w:val="0"/>
          <w:sz w:val="44"/>
          <w:szCs w:val="44"/>
        </w:rPr>
      </w:pPr>
    </w:p>
    <w:tbl>
      <w:tblPr>
        <w:tblStyle w:val="6"/>
        <w:tblW w:w="9102" w:type="dxa"/>
        <w:tblInd w:w="-27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09"/>
        <w:gridCol w:w="6130"/>
        <w:gridCol w:w="822"/>
        <w:gridCol w:w="134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hidden/>
        </w:trPr>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76" w:lineRule="exact"/>
              <w:ind w:left="0" w:right="0"/>
              <w:contextualSpacing w:val="0"/>
              <w:jc w:val="center"/>
              <w:rPr>
                <w:rFonts w:hint="eastAsia" w:ascii="黑体" w:eastAsia="黑体"/>
                <w:vanish w:val="0"/>
                <w:kern w:val="2"/>
                <w:sz w:val="28"/>
                <w:szCs w:val="28"/>
              </w:rPr>
            </w:pPr>
            <w:r>
              <w:rPr>
                <w:rFonts w:hint="eastAsia" w:ascii="黑体" w:eastAsia="黑体"/>
                <w:vanish w:val="0"/>
                <w:kern w:val="2"/>
                <w:sz w:val="28"/>
                <w:szCs w:val="28"/>
              </w:rPr>
              <w:t>序号</w:t>
            </w:r>
          </w:p>
        </w:tc>
        <w:tc>
          <w:tcPr>
            <w:tcW w:w="613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76" w:lineRule="exact"/>
              <w:ind w:left="0" w:right="0"/>
              <w:contextualSpacing w:val="0"/>
              <w:jc w:val="center"/>
              <w:rPr>
                <w:rFonts w:hint="eastAsia" w:ascii="方正黑体_GBK" w:eastAsia="方正黑体_GBK"/>
                <w:vanish w:val="0"/>
                <w:kern w:val="2"/>
                <w:sz w:val="28"/>
                <w:szCs w:val="28"/>
              </w:rPr>
            </w:pPr>
            <w:r>
              <w:rPr>
                <w:rFonts w:hint="eastAsia" w:ascii="方正黑体_GBK" w:eastAsia="方正黑体_GBK"/>
                <w:vanish w:val="0"/>
                <w:kern w:val="2"/>
                <w:sz w:val="28"/>
                <w:szCs w:val="28"/>
              </w:rPr>
              <w:t>论文题目</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576" w:lineRule="exact"/>
              <w:contextualSpacing w:val="0"/>
              <w:jc w:val="center"/>
              <w:textAlignment w:val="center"/>
              <w:rPr>
                <w:rFonts w:hint="eastAsia" w:ascii="方正黑体_GBK" w:eastAsia="方正黑体_GBK"/>
                <w:sz w:val="28"/>
                <w:szCs w:val="28"/>
                <w:lang w:val="en-US" w:eastAsia="zh-CN"/>
              </w:rPr>
            </w:pPr>
            <w:r>
              <w:rPr>
                <w:rFonts w:hint="eastAsia" w:ascii="方正黑体_GBK" w:eastAsia="方正黑体_GBK"/>
                <w:sz w:val="28"/>
                <w:szCs w:val="28"/>
                <w:lang w:val="en-US" w:eastAsia="zh-CN"/>
              </w:rPr>
              <w:t>得分</w:t>
            </w:r>
          </w:p>
        </w:tc>
        <w:tc>
          <w:tcPr>
            <w:tcW w:w="134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576" w:lineRule="exact"/>
              <w:contextualSpacing w:val="0"/>
              <w:jc w:val="center"/>
              <w:textAlignment w:val="center"/>
              <w:rPr>
                <w:rFonts w:hint="eastAsia" w:ascii="方正黑体_GBK" w:eastAsia="方正黑体_GBK"/>
                <w:sz w:val="28"/>
                <w:szCs w:val="28"/>
                <w:lang w:val="en-US" w:eastAsia="zh-CN"/>
              </w:rPr>
            </w:pPr>
            <w:r>
              <w:rPr>
                <w:rFonts w:ascii="方正黑体_GBK" w:eastAsia="方正黑体_GBK"/>
                <w:sz w:val="28"/>
                <w:szCs w:val="28"/>
                <w:lang w:val="en-US" w:eastAsia="zh-CN"/>
              </w:rPr>
              <w:t>评审意见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atLeast"/>
          <w:hidden/>
        </w:trPr>
        <w:tc>
          <w:tcPr>
            <w:tcW w:w="809"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76" w:lineRule="exact"/>
              <w:ind w:left="0" w:right="0" w:firstLine="0"/>
              <w:contextualSpacing w:val="0"/>
              <w:jc w:val="both"/>
              <w:rPr>
                <w:rFonts w:hint="eastAsia" w:ascii="楷体_GB2312" w:eastAsia="楷体_GB2312"/>
                <w:b w:val="0"/>
                <w:bCs w:val="0"/>
                <w:caps w:val="0"/>
                <w:smallCaps w:val="0"/>
                <w:vanish w:val="0"/>
                <w:kern w:val="2"/>
                <w:sz w:val="24"/>
                <w:szCs w:val="24"/>
              </w:rPr>
            </w:pPr>
            <w:r>
              <w:rPr>
                <w:rFonts w:hint="eastAsia" w:ascii="楷体_GB2312" w:eastAsia="楷体_GB2312"/>
                <w:b w:val="0"/>
                <w:bCs w:val="0"/>
                <w:caps w:val="0"/>
                <w:smallCaps w:val="0"/>
                <w:vanish w:val="0"/>
                <w:kern w:val="2"/>
                <w:sz w:val="24"/>
                <w:szCs w:val="24"/>
              </w:rPr>
              <w:t>1</w:t>
            </w:r>
          </w:p>
        </w:tc>
        <w:tc>
          <w:tcPr>
            <w:tcW w:w="6130"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76" w:lineRule="exact"/>
              <w:ind w:left="0" w:right="0" w:firstLine="0"/>
              <w:contextualSpacing w:val="0"/>
              <w:jc w:val="both"/>
              <w:rPr>
                <w:rFonts w:hint="eastAsia" w:ascii="楷体_GB2312" w:eastAsia="楷体_GB2312"/>
                <w:b w:val="0"/>
                <w:bCs w:val="0"/>
                <w:caps w:val="0"/>
                <w:smallCaps w:val="0"/>
                <w:vanish w:val="0"/>
                <w:kern w:val="2"/>
                <w:sz w:val="24"/>
                <w:szCs w:val="24"/>
              </w:rPr>
            </w:pPr>
            <w:r>
              <w:rPr>
                <w:rFonts w:hint="eastAsia" w:ascii="楷体_GB2312" w:eastAsia="楷体_GB2312"/>
                <w:b w:val="0"/>
                <w:bCs w:val="0"/>
                <w:caps w:val="0"/>
                <w:smallCaps w:val="0"/>
                <w:vanish w:val="0"/>
                <w:kern w:val="2"/>
                <w:sz w:val="24"/>
                <w:szCs w:val="24"/>
              </w:rPr>
              <w:t>多输入工控网络联合多泄露侧信道攻击研究</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ascii="楷体_GB2312" w:eastAsia="楷体_GB2312"/>
                <w:caps w:val="0"/>
                <w:smallCaps w:val="0"/>
                <w:vanish w:val="0"/>
                <w:kern w:val="2"/>
                <w:sz w:val="24"/>
                <w:szCs w:val="24"/>
                <w:lang w:val="en-US" w:eastAsia="zh-CN"/>
              </w:rPr>
            </w:pPr>
            <w:r>
              <w:rPr>
                <w:rFonts w:hint="eastAsia" w:ascii="楷体_GB2312" w:eastAsia="楷体_GB2312"/>
                <w:caps w:val="0"/>
                <w:smallCaps w:val="0"/>
                <w:vanish w:val="0"/>
                <w:kern w:val="2"/>
                <w:sz w:val="24"/>
                <w:szCs w:val="24"/>
                <w:lang w:val="en-US" w:eastAsia="zh-CN"/>
              </w:rPr>
              <w:t>104.7</w:t>
            </w:r>
          </w:p>
        </w:tc>
        <w:tc>
          <w:tcPr>
            <w:tcW w:w="134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center"/>
              <w:rPr>
                <w:rFonts w:hint="eastAsia" w:ascii="楷体_GB2312" w:eastAsia="楷体_GB2312"/>
                <w:caps w:val="0"/>
                <w:smallCaps w:val="0"/>
                <w:vanish w:val="0"/>
                <w:kern w:val="2"/>
                <w:sz w:val="28"/>
                <w:szCs w:val="28"/>
                <w:lang w:val="en-US" w:eastAsia="zh-CN"/>
              </w:rPr>
            </w:pPr>
            <w:r>
              <w:rPr>
                <w:rFonts w:ascii="楷体_GB2312" w:eastAsia="楷体_GB2312"/>
                <w:caps w:val="0"/>
                <w:smallCaps w:val="0"/>
                <w:vanish w:val="0"/>
                <w:kern w:val="2"/>
                <w:sz w:val="28"/>
                <w:szCs w:val="28"/>
                <w:lang w:val="en-US" w:eastAsia="zh-CN"/>
              </w:rPr>
              <w:t>一等奖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94" w:hRule="atLeast"/>
          <w:hidden/>
        </w:trPr>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576" w:lineRule="exact"/>
              <w:ind w:left="0" w:right="0" w:firstLine="0"/>
              <w:contextualSpacing w:val="0"/>
              <w:jc w:val="both"/>
              <w:rPr>
                <w:rFonts w:hint="eastAsia" w:ascii="楷体_GB2312" w:eastAsia="楷体_GB2312" w:cs="Times New Roman"/>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vanish w:val="0"/>
                <w:kern w:val="2"/>
                <w:sz w:val="24"/>
                <w:szCs w:val="24"/>
              </w:rPr>
              <w:t>2</w:t>
            </w:r>
          </w:p>
        </w:tc>
        <w:tc>
          <w:tcPr>
            <w:tcW w:w="613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ind w:left="0" w:right="0" w:firstLine="0"/>
              <w:contextualSpacing w:val="0"/>
              <w:jc w:val="both"/>
              <w:rPr>
                <w:rFonts w:hint="eastAsia" w:ascii="楷体_GB2312" w:eastAsia="楷体_GB2312" w:cs="Times New Roman"/>
                <w:bCs/>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bCs/>
                <w:vanish w:val="0"/>
                <w:kern w:val="2"/>
                <w:sz w:val="24"/>
                <w:szCs w:val="24"/>
              </w:rPr>
              <w:t>STSG: A Short Text Semantic Graph Model for Similarity Computing Based on Dependency Parsing and Pre-trained Language Models</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bCs/>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bCs/>
                <w:vanish w:val="0"/>
                <w:kern w:val="2"/>
                <w:sz w:val="24"/>
                <w:szCs w:val="24"/>
                <w:lang w:val="en-US" w:eastAsia="zh-CN"/>
              </w:rPr>
              <w:t>102.3</w:t>
            </w:r>
          </w:p>
        </w:tc>
        <w:tc>
          <w:tcPr>
            <w:tcW w:w="134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center"/>
              <w:rPr>
                <w:rFonts w:hint="eastAsia" w:ascii="楷体_GB2312" w:eastAsia="楷体_GB2312" w:cs="Times New Roman"/>
                <w:bCs/>
                <w:snapToGrid/>
                <w:vanish w:val="0"/>
                <w:color w:val="auto"/>
                <w:spacing w:val="0"/>
                <w:w w:val="100"/>
                <w:kern w:val="2"/>
                <w:position w:val="0"/>
                <w:sz w:val="28"/>
                <w:szCs w:val="28"/>
                <w:u w:val="none" w:color="auto"/>
                <w:shd w:val="clear" w:color="auto" w:fill="auto"/>
                <w:vertAlign w:val="baseline"/>
                <w:lang w:val="en-US" w:eastAsia="zh-CN" w:bidi="ar-SA"/>
              </w:rPr>
            </w:pPr>
            <w:r>
              <w:rPr>
                <w:rFonts w:ascii="楷体_GB2312" w:eastAsia="楷体_GB2312"/>
                <w:bCs/>
                <w:vanish w:val="0"/>
                <w:kern w:val="2"/>
                <w:sz w:val="28"/>
                <w:szCs w:val="28"/>
                <w:lang w:val="en-US" w:eastAsia="zh-CN"/>
              </w:rPr>
              <w:t>一等奖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8" w:hRule="atLeast"/>
          <w:hidden/>
        </w:trPr>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576" w:lineRule="exact"/>
              <w:ind w:left="0" w:right="0" w:firstLine="0"/>
              <w:contextualSpacing w:val="0"/>
              <w:jc w:val="both"/>
              <w:rPr>
                <w:rFonts w:hint="eastAsia" w:ascii="楷体_GB2312" w:eastAsia="楷体_GB2312" w:cs="Times New Roman"/>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vanish w:val="0"/>
                <w:kern w:val="2"/>
                <w:sz w:val="24"/>
                <w:szCs w:val="24"/>
                <w:lang w:val="en-US" w:eastAsia="zh-CN"/>
              </w:rPr>
              <w:t>3</w:t>
            </w:r>
          </w:p>
        </w:tc>
        <w:tc>
          <w:tcPr>
            <w:tcW w:w="613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576" w:lineRule="exact"/>
              <w:ind w:left="0" w:firstLine="0"/>
              <w:contextualSpacing w:val="0"/>
              <w:jc w:val="both"/>
              <w:rPr>
                <w:rFonts w:hint="eastAsia" w:ascii="楷体_GB2312" w:eastAsia="楷体_GB2312"/>
                <w:vanish w:val="0"/>
                <w:kern w:val="2"/>
                <w:sz w:val="24"/>
                <w:szCs w:val="24"/>
              </w:rPr>
            </w:pPr>
            <w:r>
              <w:rPr>
                <w:rFonts w:hint="eastAsia" w:ascii="楷体_GB2312" w:eastAsia="楷体_GB2312"/>
                <w:vanish w:val="0"/>
                <w:kern w:val="2"/>
                <w:sz w:val="24"/>
                <w:szCs w:val="24"/>
              </w:rPr>
              <w:t>沸石在中、低水平放射性废液水泥固化中的应用研究</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ascii="楷体_GB2312" w:eastAsia="楷体_GB2312"/>
                <w:vanish w:val="0"/>
                <w:kern w:val="2"/>
                <w:sz w:val="24"/>
                <w:szCs w:val="24"/>
                <w:lang w:val="en-US" w:eastAsia="zh-CN"/>
              </w:rPr>
            </w:pPr>
            <w:r>
              <w:rPr>
                <w:rFonts w:hint="eastAsia" w:ascii="楷体_GB2312" w:eastAsia="楷体_GB2312"/>
                <w:vanish w:val="0"/>
                <w:kern w:val="2"/>
                <w:sz w:val="24"/>
                <w:szCs w:val="24"/>
                <w:lang w:val="en-US" w:eastAsia="zh-CN"/>
              </w:rPr>
              <w:t>95.3</w:t>
            </w:r>
          </w:p>
        </w:tc>
        <w:tc>
          <w:tcPr>
            <w:tcW w:w="134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center"/>
              <w:rPr>
                <w:rFonts w:hint="eastAsia" w:ascii="楷体_GB2312" w:eastAsia="楷体_GB2312"/>
                <w:vanish w:val="0"/>
                <w:kern w:val="2"/>
                <w:sz w:val="28"/>
                <w:szCs w:val="28"/>
                <w:lang w:val="en-US" w:eastAsia="zh-CN"/>
              </w:rPr>
            </w:pPr>
            <w:r>
              <w:rPr>
                <w:rFonts w:ascii="楷体_GB2312" w:eastAsia="楷体_GB2312"/>
                <w:vanish w:val="0"/>
                <w:kern w:val="2"/>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8" w:hRule="atLeast"/>
          <w:hidden/>
        </w:trPr>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576" w:lineRule="exact"/>
              <w:ind w:left="0" w:right="0" w:firstLine="0"/>
              <w:contextualSpacing w:val="0"/>
              <w:jc w:val="both"/>
              <w:rPr>
                <w:rFonts w:hint="eastAsia" w:ascii="楷体_GB2312" w:eastAsia="楷体_GB2312" w:cs="Times New Roman"/>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vanish w:val="0"/>
                <w:kern w:val="2"/>
                <w:sz w:val="24"/>
                <w:szCs w:val="24"/>
                <w:lang w:val="en-US" w:eastAsia="zh-CN"/>
              </w:rPr>
              <w:t>4</w:t>
            </w:r>
          </w:p>
        </w:tc>
        <w:tc>
          <w:tcPr>
            <w:tcW w:w="6130"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576" w:lineRule="exact"/>
              <w:ind w:left="0" w:right="0" w:firstLine="0"/>
              <w:contextualSpacing w:val="0"/>
              <w:jc w:val="both"/>
              <w:rPr>
                <w:rFonts w:hint="eastAsia" w:ascii="楷体_GB2312" w:eastAsia="楷体_GB2312" w:cs="Times New Roman"/>
                <w:bCs/>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bCs/>
                <w:vanish w:val="0"/>
                <w:kern w:val="2"/>
                <w:sz w:val="24"/>
                <w:szCs w:val="24"/>
              </w:rPr>
              <w:t>基于工业环境下复合机器人的设计</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bCs/>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bCs/>
                <w:vanish w:val="0"/>
                <w:kern w:val="2"/>
                <w:sz w:val="24"/>
                <w:szCs w:val="24"/>
                <w:lang w:val="en-US" w:eastAsia="zh-CN"/>
              </w:rPr>
              <w:t>94.3</w:t>
            </w:r>
          </w:p>
        </w:tc>
        <w:tc>
          <w:tcPr>
            <w:tcW w:w="1341" w:type="dxa"/>
            <w:tcBorders>
              <w:top w:val="single" w:color="auto" w:sz="4" w:space="0"/>
              <w:left w:val="nil"/>
              <w:bottom w:val="single" w:color="auto" w:sz="4" w:space="0"/>
              <w:right w:val="single" w:color="auto" w:sz="4" w:space="0"/>
              <w:tl2br w:val="nil"/>
              <w:tr2bl w:val="nil"/>
            </w:tcBorders>
            <w:vAlign w:val="center"/>
          </w:tcPr>
          <w:p>
            <w:pPr>
              <w:jc w:val="center"/>
              <w:rPr>
                <w:sz w:val="28"/>
                <w:szCs w:val="28"/>
              </w:rPr>
            </w:pPr>
            <w:r>
              <w:rPr>
                <w:rFonts w:ascii="楷体_GB2312" w:eastAsia="楷体_GB2312"/>
                <w:vanish w:val="0"/>
                <w:kern w:val="2"/>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8" w:hRule="atLeast"/>
          <w:hidden/>
        </w:trPr>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576" w:lineRule="exact"/>
              <w:ind w:left="0" w:right="0" w:firstLine="0"/>
              <w:contextualSpacing w:val="0"/>
              <w:jc w:val="both"/>
              <w:rPr>
                <w:rFonts w:hint="eastAsia" w:ascii="楷体_GB2312" w:eastAsia="楷体_GB2312" w:cs="Times New Roman"/>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vanish w:val="0"/>
                <w:kern w:val="2"/>
                <w:sz w:val="24"/>
                <w:szCs w:val="24"/>
                <w:lang w:val="en-US" w:eastAsia="zh-CN"/>
              </w:rPr>
              <w:t>5</w:t>
            </w:r>
          </w:p>
        </w:tc>
        <w:tc>
          <w:tcPr>
            <w:tcW w:w="6130"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576" w:lineRule="exact"/>
              <w:ind w:left="0" w:right="0" w:firstLine="0"/>
              <w:contextualSpacing w:val="0"/>
              <w:jc w:val="both"/>
              <w:rPr>
                <w:rFonts w:hint="eastAsia" w:ascii="楷体_GB2312" w:eastAsia="楷体_GB2312" w:cs="Times New Roman"/>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bCs/>
                <w:vanish w:val="0"/>
                <w:kern w:val="2"/>
                <w:sz w:val="24"/>
                <w:szCs w:val="24"/>
              </w:rPr>
              <w:t>基于S7-1200 PLC步进电机驱动控制系统设计</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bCs/>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bCs/>
                <w:vanish w:val="0"/>
                <w:kern w:val="2"/>
                <w:sz w:val="24"/>
                <w:szCs w:val="24"/>
                <w:lang w:val="en-US" w:eastAsia="zh-CN"/>
              </w:rPr>
              <w:t>93</w:t>
            </w:r>
          </w:p>
        </w:tc>
        <w:tc>
          <w:tcPr>
            <w:tcW w:w="1341" w:type="dxa"/>
            <w:tcBorders>
              <w:top w:val="single" w:color="auto" w:sz="4" w:space="0"/>
              <w:left w:val="nil"/>
              <w:bottom w:val="single" w:color="auto" w:sz="4" w:space="0"/>
              <w:right w:val="single" w:color="auto" w:sz="4" w:space="0"/>
              <w:tl2br w:val="nil"/>
              <w:tr2bl w:val="nil"/>
            </w:tcBorders>
            <w:vAlign w:val="center"/>
          </w:tcPr>
          <w:p>
            <w:pPr>
              <w:jc w:val="center"/>
              <w:rPr>
                <w:sz w:val="28"/>
                <w:szCs w:val="28"/>
              </w:rPr>
            </w:pPr>
            <w:r>
              <w:rPr>
                <w:rFonts w:ascii="楷体_GB2312" w:eastAsia="楷体_GB2312"/>
                <w:vanish w:val="0"/>
                <w:kern w:val="2"/>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8" w:hRule="atLeast"/>
          <w:hidden/>
        </w:trPr>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576" w:lineRule="exact"/>
              <w:ind w:left="0" w:right="0" w:firstLine="0"/>
              <w:contextualSpacing w:val="0"/>
              <w:jc w:val="both"/>
              <w:rPr>
                <w:rFonts w:hint="eastAsia" w:ascii="楷体_GB2312" w:eastAsia="楷体_GB2312" w:cs="Times New Roman"/>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vanish w:val="0"/>
                <w:kern w:val="2"/>
                <w:sz w:val="24"/>
                <w:szCs w:val="24"/>
                <w:lang w:val="en-US" w:eastAsia="zh-CN"/>
              </w:rPr>
              <w:t>6</w:t>
            </w:r>
          </w:p>
        </w:tc>
        <w:tc>
          <w:tcPr>
            <w:tcW w:w="6130"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576" w:lineRule="exact"/>
              <w:ind w:left="0" w:right="0" w:firstLine="0"/>
              <w:contextualSpacing w:val="0"/>
              <w:jc w:val="both"/>
              <w:rPr>
                <w:rFonts w:hint="eastAsia" w:ascii="楷体_GB2312" w:eastAsia="楷体_GB2312" w:cs="Times New Roman"/>
                <w:bCs/>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bCs/>
                <w:vanish w:val="0"/>
                <w:kern w:val="2"/>
                <w:sz w:val="24"/>
                <w:szCs w:val="24"/>
              </w:rPr>
              <w:t>3－PSR/PSS 装校平台所受六维力的解算研究</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caps w:val="0"/>
                <w:smallCaps w:val="0"/>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aps w:val="0"/>
                <w:smallCaps w:val="0"/>
                <w:vanish w:val="0"/>
                <w:kern w:val="2"/>
                <w:sz w:val="24"/>
                <w:szCs w:val="24"/>
                <w:lang w:val="en-US" w:eastAsia="zh-CN"/>
              </w:rPr>
              <w:t>92.3</w:t>
            </w:r>
          </w:p>
        </w:tc>
        <w:tc>
          <w:tcPr>
            <w:tcW w:w="1341" w:type="dxa"/>
            <w:tcBorders>
              <w:top w:val="single" w:color="auto" w:sz="4" w:space="0"/>
              <w:left w:val="nil"/>
              <w:bottom w:val="single" w:color="auto" w:sz="4" w:space="0"/>
              <w:right w:val="single" w:color="auto" w:sz="4" w:space="0"/>
              <w:tl2br w:val="nil"/>
              <w:tr2bl w:val="nil"/>
            </w:tcBorders>
            <w:vAlign w:val="center"/>
          </w:tcPr>
          <w:p>
            <w:pPr>
              <w:jc w:val="center"/>
              <w:rPr>
                <w:sz w:val="28"/>
                <w:szCs w:val="28"/>
              </w:rPr>
            </w:pPr>
            <w:r>
              <w:rPr>
                <w:rFonts w:ascii="楷体_GB2312" w:eastAsia="楷体_GB2312"/>
                <w:vanish w:val="0"/>
                <w:kern w:val="2"/>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8" w:hRule="atLeast"/>
          <w:hidden/>
        </w:trPr>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576" w:lineRule="exact"/>
              <w:ind w:left="0" w:right="0" w:firstLine="0"/>
              <w:contextualSpacing w:val="0"/>
              <w:jc w:val="both"/>
              <w:rPr>
                <w:rFonts w:hint="eastAsia" w:ascii="楷体_GB2312" w:eastAsia="楷体_GB2312" w:cs="Times New Roman"/>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vanish w:val="0"/>
                <w:kern w:val="2"/>
                <w:sz w:val="24"/>
                <w:szCs w:val="24"/>
                <w:lang w:val="en-US" w:eastAsia="zh-CN"/>
              </w:rPr>
              <w:t>7</w:t>
            </w:r>
          </w:p>
        </w:tc>
        <w:tc>
          <w:tcPr>
            <w:tcW w:w="613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576" w:lineRule="exact"/>
              <w:ind w:left="0" w:right="0" w:firstLine="0"/>
              <w:contextualSpacing w:val="0"/>
              <w:jc w:val="both"/>
              <w:rPr>
                <w:rFonts w:hint="eastAsia" w:ascii="楷体_GB2312" w:eastAsia="楷体_GB2312" w:cs="Times New Roman"/>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vanish w:val="0"/>
                <w:kern w:val="2"/>
                <w:sz w:val="24"/>
                <w:szCs w:val="24"/>
              </w:rPr>
              <w:t>废树脂定容式体积计量系统中计量槽的设计与验证</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vanish w:val="0"/>
                <w:kern w:val="2"/>
                <w:sz w:val="24"/>
                <w:szCs w:val="24"/>
                <w:lang w:val="en-US" w:eastAsia="zh-CN"/>
              </w:rPr>
              <w:t>86.0</w:t>
            </w:r>
          </w:p>
        </w:tc>
        <w:tc>
          <w:tcPr>
            <w:tcW w:w="1341" w:type="dxa"/>
            <w:tcBorders>
              <w:top w:val="single" w:color="auto" w:sz="4" w:space="0"/>
              <w:left w:val="nil"/>
              <w:bottom w:val="single" w:color="auto" w:sz="4" w:space="0"/>
              <w:right w:val="single" w:color="auto" w:sz="4" w:space="0"/>
              <w:tl2br w:val="nil"/>
              <w:tr2bl w:val="nil"/>
            </w:tcBorders>
            <w:vAlign w:val="center"/>
          </w:tcPr>
          <w:p>
            <w:pPr>
              <w:jc w:val="center"/>
              <w:rPr>
                <w:sz w:val="28"/>
                <w:szCs w:val="28"/>
              </w:rPr>
            </w:pPr>
            <w:r>
              <w:rPr>
                <w:rFonts w:ascii="楷体_GB2312" w:eastAsia="楷体_GB2312"/>
                <w:sz w:val="28"/>
                <w:szCs w:val="28"/>
                <w:lang w:val="en-US" w:eastAsia="zh-CN"/>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8" w:hRule="atLeast"/>
          <w:hidden/>
        </w:trPr>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576" w:lineRule="exact"/>
              <w:ind w:left="0" w:right="0" w:firstLine="0"/>
              <w:contextualSpacing w:val="0"/>
              <w:jc w:val="both"/>
              <w:rPr>
                <w:rFonts w:hint="eastAsia" w:ascii="楷体_GB2312" w:eastAsia="楷体_GB2312" w:cs="Times New Roman"/>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vanish w:val="0"/>
                <w:kern w:val="2"/>
                <w:sz w:val="24"/>
                <w:szCs w:val="24"/>
                <w:lang w:val="en-US" w:eastAsia="zh-CN"/>
              </w:rPr>
              <w:t>8</w:t>
            </w:r>
          </w:p>
        </w:tc>
        <w:tc>
          <w:tcPr>
            <w:tcW w:w="6130"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576" w:lineRule="exact"/>
              <w:ind w:left="0" w:right="0" w:firstLine="0"/>
              <w:contextualSpacing w:val="0"/>
              <w:jc w:val="both"/>
              <w:rPr>
                <w:rFonts w:hint="eastAsia" w:ascii="楷体_GB2312" w:eastAsia="楷体_GB2312" w:cs="Times New Roman"/>
                <w:bCs/>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bCs/>
                <w:vanish w:val="0"/>
                <w:kern w:val="2"/>
                <w:sz w:val="24"/>
                <w:szCs w:val="24"/>
              </w:rPr>
              <w:t>大规格泡沫铝锭成型模具轻量化设计</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vanish w:val="0"/>
                <w:kern w:val="2"/>
                <w:sz w:val="24"/>
                <w:szCs w:val="24"/>
                <w:lang w:val="en-US" w:eastAsia="zh-CN"/>
              </w:rPr>
              <w:t>85.7</w:t>
            </w:r>
          </w:p>
        </w:tc>
        <w:tc>
          <w:tcPr>
            <w:tcW w:w="1341" w:type="dxa"/>
            <w:tcBorders>
              <w:top w:val="single" w:color="auto" w:sz="4" w:space="0"/>
              <w:left w:val="nil"/>
              <w:bottom w:val="single" w:color="auto" w:sz="4" w:space="0"/>
              <w:right w:val="single" w:color="auto" w:sz="4" w:space="0"/>
              <w:tl2br w:val="nil"/>
              <w:tr2bl w:val="nil"/>
            </w:tcBorders>
            <w:vAlign w:val="center"/>
          </w:tcPr>
          <w:p>
            <w:pPr>
              <w:jc w:val="center"/>
              <w:rPr>
                <w:sz w:val="28"/>
                <w:szCs w:val="28"/>
              </w:rPr>
            </w:pPr>
            <w:r>
              <w:rPr>
                <w:rFonts w:ascii="楷体_GB2312" w:eastAsia="楷体_GB2312"/>
                <w:sz w:val="28"/>
                <w:szCs w:val="28"/>
                <w:lang w:val="en-US" w:eastAsia="zh-CN"/>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8" w:hRule="atLeast"/>
          <w:hidden/>
        </w:trPr>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576" w:lineRule="exact"/>
              <w:ind w:left="0" w:right="0" w:firstLine="0"/>
              <w:contextualSpacing w:val="0"/>
              <w:jc w:val="both"/>
              <w:rPr>
                <w:rFonts w:hint="eastAsia" w:ascii="楷体_GB2312" w:eastAsia="楷体_GB2312" w:cs="Times New Roman"/>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vanish w:val="0"/>
                <w:kern w:val="2"/>
                <w:sz w:val="24"/>
                <w:szCs w:val="24"/>
                <w:lang w:val="en-US" w:eastAsia="zh-CN"/>
              </w:rPr>
              <w:t>9</w:t>
            </w:r>
          </w:p>
        </w:tc>
        <w:tc>
          <w:tcPr>
            <w:tcW w:w="6130"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576" w:lineRule="exact"/>
              <w:ind w:left="0" w:right="0" w:firstLine="0"/>
              <w:contextualSpacing w:val="0"/>
              <w:jc w:val="both"/>
              <w:rPr>
                <w:rFonts w:hint="eastAsia" w:ascii="楷体_GB2312" w:eastAsia="楷体_GB2312" w:cs="Times New Roman"/>
                <w:bCs/>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bCs/>
                <w:vanish w:val="0"/>
                <w:kern w:val="2"/>
                <w:sz w:val="24"/>
                <w:szCs w:val="24"/>
              </w:rPr>
              <w:t>一种基于RFID与激光的动态目标定位系统</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vanish w:val="0"/>
                <w:kern w:val="2"/>
                <w:sz w:val="24"/>
                <w:szCs w:val="24"/>
                <w:lang w:val="en-US" w:eastAsia="zh-CN"/>
              </w:rPr>
              <w:t>85.3</w:t>
            </w:r>
          </w:p>
        </w:tc>
        <w:tc>
          <w:tcPr>
            <w:tcW w:w="1341" w:type="dxa"/>
            <w:tcBorders>
              <w:top w:val="single" w:color="auto" w:sz="4" w:space="0"/>
              <w:left w:val="nil"/>
              <w:bottom w:val="single" w:color="auto" w:sz="4" w:space="0"/>
              <w:right w:val="single" w:color="auto" w:sz="4" w:space="0"/>
              <w:tl2br w:val="nil"/>
              <w:tr2bl w:val="nil"/>
            </w:tcBorders>
            <w:vAlign w:val="center"/>
          </w:tcPr>
          <w:p>
            <w:pPr>
              <w:jc w:val="center"/>
              <w:rPr>
                <w:sz w:val="28"/>
                <w:szCs w:val="28"/>
              </w:rPr>
            </w:pPr>
            <w:r>
              <w:rPr>
                <w:rFonts w:ascii="楷体_GB2312" w:eastAsia="楷体_GB2312"/>
                <w:sz w:val="28"/>
                <w:szCs w:val="28"/>
                <w:lang w:val="en-US" w:eastAsia="zh-CN"/>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8" w:hRule="atLeast"/>
        </w:trPr>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ind w:left="0" w:right="0" w:firstLine="0"/>
              <w:jc w:val="both"/>
              <w:rPr>
                <w:rFonts w:hint="eastAsia"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pPr>
            <w:r>
              <w:rPr>
                <w:rFonts w:hint="eastAsia"/>
                <w:lang w:val="en-US" w:eastAsia="zh-CN"/>
              </w:rPr>
              <w:t>10</w:t>
            </w:r>
          </w:p>
        </w:tc>
        <w:tc>
          <w:tcPr>
            <w:tcW w:w="6130"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576" w:lineRule="exact"/>
              <w:ind w:left="0" w:right="0" w:firstLine="0"/>
              <w:contextualSpacing w:val="0"/>
              <w:jc w:val="both"/>
              <w:rPr>
                <w:rFonts w:hint="eastAsia" w:ascii="楷体_GB2312" w:eastAsia="楷体_GB2312" w:cs="Times New Roman"/>
                <w:bCs/>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bCs/>
                <w:vanish w:val="0"/>
                <w:kern w:val="2"/>
                <w:sz w:val="24"/>
                <w:szCs w:val="24"/>
              </w:rPr>
              <w:t>基于双环设计的PD垂直起降飞行器轨迹跟踪控制</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vanish w:val="0"/>
                <w:kern w:val="2"/>
                <w:sz w:val="24"/>
                <w:szCs w:val="24"/>
                <w:lang w:val="en-US" w:eastAsia="zh-CN"/>
              </w:rPr>
              <w:t>85</w:t>
            </w:r>
          </w:p>
        </w:tc>
        <w:tc>
          <w:tcPr>
            <w:tcW w:w="1341" w:type="dxa"/>
            <w:tcBorders>
              <w:top w:val="single" w:color="auto" w:sz="4" w:space="0"/>
              <w:left w:val="nil"/>
              <w:bottom w:val="single" w:color="auto" w:sz="4" w:space="0"/>
              <w:right w:val="single" w:color="auto" w:sz="4" w:space="0"/>
              <w:tl2br w:val="nil"/>
              <w:tr2bl w:val="nil"/>
            </w:tcBorders>
            <w:vAlign w:val="center"/>
          </w:tcPr>
          <w:p>
            <w:pPr>
              <w:jc w:val="center"/>
              <w:rPr>
                <w:sz w:val="28"/>
                <w:szCs w:val="28"/>
              </w:rPr>
            </w:pPr>
            <w:r>
              <w:rPr>
                <w:rFonts w:ascii="楷体_GB2312" w:eastAsia="楷体_GB2312"/>
                <w:sz w:val="28"/>
                <w:szCs w:val="28"/>
                <w:lang w:val="en-US" w:eastAsia="zh-CN"/>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8" w:hRule="atLeast"/>
        </w:trPr>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ind w:left="0" w:right="0" w:firstLine="0"/>
              <w:jc w:val="both"/>
              <w:rPr>
                <w:rFonts w:hint="eastAsia"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pPr>
            <w:r>
              <w:rPr>
                <w:rFonts w:hint="eastAsia"/>
                <w:lang w:val="en-US" w:eastAsia="zh-CN"/>
              </w:rPr>
              <w:t>11</w:t>
            </w:r>
          </w:p>
        </w:tc>
        <w:tc>
          <w:tcPr>
            <w:tcW w:w="613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afterAutospacing="0" w:line="576" w:lineRule="exact"/>
              <w:ind w:left="0" w:right="0" w:firstLine="0"/>
              <w:contextualSpacing w:val="0"/>
              <w:jc w:val="both"/>
              <w:rPr>
                <w:rFonts w:hint="eastAsia" w:ascii="楷体_GB2312" w:eastAsia="楷体_GB2312" w:cs="Times New Roman"/>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vanish w:val="0"/>
                <w:kern w:val="2"/>
                <w:sz w:val="24"/>
                <w:szCs w:val="24"/>
              </w:rPr>
              <w:t>蒙特卡洛方法在紧凑式水泥固化装置屏蔽设计中的应用</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caps w:val="0"/>
                <w:smallCaps w:val="0"/>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aps w:val="0"/>
                <w:smallCaps w:val="0"/>
                <w:vanish w:val="0"/>
                <w:kern w:val="2"/>
                <w:sz w:val="24"/>
                <w:szCs w:val="24"/>
                <w:lang w:val="en-US" w:eastAsia="zh-CN"/>
              </w:rPr>
              <w:t>85</w:t>
            </w:r>
          </w:p>
        </w:tc>
        <w:tc>
          <w:tcPr>
            <w:tcW w:w="1341" w:type="dxa"/>
            <w:tcBorders>
              <w:top w:val="single" w:color="auto" w:sz="4" w:space="0"/>
              <w:left w:val="nil"/>
              <w:bottom w:val="single" w:color="auto" w:sz="4" w:space="0"/>
              <w:right w:val="single" w:color="auto" w:sz="4" w:space="0"/>
              <w:tl2br w:val="nil"/>
              <w:tr2bl w:val="nil"/>
            </w:tcBorders>
            <w:vAlign w:val="center"/>
          </w:tcPr>
          <w:p>
            <w:pPr>
              <w:jc w:val="center"/>
              <w:rPr>
                <w:sz w:val="28"/>
                <w:szCs w:val="28"/>
              </w:rPr>
            </w:pPr>
            <w:r>
              <w:rPr>
                <w:rFonts w:ascii="楷体_GB2312" w:eastAsia="楷体_GB2312"/>
                <w:sz w:val="28"/>
                <w:szCs w:val="28"/>
                <w:lang w:val="en-US" w:eastAsia="zh-CN"/>
              </w:rPr>
              <w:t>三等奖</w:t>
            </w:r>
          </w:p>
        </w:tc>
      </w:tr>
    </w:tbl>
    <w:p>
      <w:pPr>
        <w:jc w:val="both"/>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spacing w:line="576" w:lineRule="exact"/>
        <w:jc w:val="both"/>
        <w:rPr>
          <w:rFonts w:ascii="方正黑体_GBK" w:eastAsia="方正黑体_GBK" w:cs="方正黑体_GBK"/>
          <w:vanish w:val="0"/>
          <w:color w:val="auto"/>
          <w:kern w:val="0"/>
          <w:sz w:val="36"/>
          <w:szCs w:val="36"/>
          <w:lang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spacing w:line="576" w:lineRule="exact"/>
        <w:jc w:val="both"/>
        <w:rPr>
          <w:rFonts w:ascii="方正黑体_GBK" w:eastAsia="方正黑体_GBK" w:cs="方正黑体_GBK"/>
          <w:vanish w:val="0"/>
          <w:color w:val="auto"/>
          <w:kern w:val="0"/>
          <w:sz w:val="36"/>
          <w:szCs w:val="36"/>
          <w:lang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spacing w:line="576" w:lineRule="exact"/>
        <w:jc w:val="both"/>
        <w:rPr>
          <w:rFonts w:ascii="方正黑体_GBK" w:eastAsia="方正黑体_GBK" w:cs="方正黑体_GBK"/>
          <w:vanish w:val="0"/>
          <w:color w:val="auto"/>
          <w:kern w:val="0"/>
          <w:sz w:val="36"/>
          <w:szCs w:val="36"/>
          <w:lang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spacing w:line="576" w:lineRule="exact"/>
        <w:jc w:val="both"/>
        <w:rPr>
          <w:rFonts w:hint="eastAsia" w:ascii="方正黑体_GBK" w:eastAsia="方正黑体_GBK" w:cs="方正黑体_GBK"/>
          <w:vanish w:val="0"/>
          <w:color w:val="auto"/>
          <w:kern w:val="0"/>
          <w:sz w:val="36"/>
          <w:szCs w:val="36"/>
          <w:lang w:eastAsia="zh-CN"/>
        </w:rPr>
      </w:pPr>
      <w:r>
        <w:rPr>
          <w:rFonts w:hint="eastAsia" w:ascii="方正黑体_GBK" w:eastAsia="方正黑体_GBK" w:cs="方正黑体_GBK"/>
          <w:vanish w:val="0"/>
          <w:color w:val="auto"/>
          <w:kern w:val="0"/>
          <w:sz w:val="36"/>
          <w:szCs w:val="36"/>
          <w:lang w:eastAsia="zh-CN"/>
        </w:rPr>
        <w:t>二、农林类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200" w:lineRule="exact"/>
        <w:jc w:val="both"/>
        <w:rPr>
          <w:rFonts w:ascii="Times New Roman" w:hAnsi="Times New Roman" w:eastAsia="黑体"/>
          <w:vanish w:val="0"/>
          <w:color w:val="auto"/>
          <w:kern w:val="0"/>
          <w:sz w:val="44"/>
          <w:szCs w:val="44"/>
        </w:rPr>
      </w:pPr>
    </w:p>
    <w:tbl>
      <w:tblPr>
        <w:tblStyle w:val="6"/>
        <w:tblW w:w="9132" w:type="dxa"/>
        <w:tblInd w:w="-29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24"/>
        <w:gridCol w:w="6130"/>
        <w:gridCol w:w="881"/>
        <w:gridCol w:w="129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3" w:hRule="atLeast"/>
          <w:hidden/>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76" w:lineRule="exact"/>
              <w:ind w:left="0" w:right="0"/>
              <w:contextualSpacing w:val="0"/>
              <w:jc w:val="center"/>
              <w:rPr>
                <w:rFonts w:hint="eastAsia" w:ascii="黑体" w:eastAsia="黑体"/>
                <w:vanish w:val="0"/>
                <w:kern w:val="2"/>
                <w:sz w:val="28"/>
                <w:szCs w:val="28"/>
              </w:rPr>
            </w:pPr>
            <w:r>
              <w:rPr>
                <w:rFonts w:hint="eastAsia" w:ascii="黑体" w:eastAsia="黑体"/>
                <w:vanish w:val="0"/>
                <w:kern w:val="2"/>
                <w:sz w:val="28"/>
                <w:szCs w:val="28"/>
              </w:rPr>
              <w:t>序号</w:t>
            </w:r>
          </w:p>
        </w:tc>
        <w:tc>
          <w:tcPr>
            <w:tcW w:w="61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76" w:lineRule="exact"/>
              <w:ind w:left="0" w:right="0"/>
              <w:contextualSpacing w:val="0"/>
              <w:jc w:val="center"/>
              <w:rPr>
                <w:rFonts w:hint="eastAsia" w:ascii="方正黑体_GBK" w:eastAsia="方正黑体_GBK"/>
                <w:vanish w:val="0"/>
                <w:kern w:val="2"/>
                <w:sz w:val="28"/>
                <w:szCs w:val="28"/>
              </w:rPr>
            </w:pPr>
            <w:r>
              <w:rPr>
                <w:rFonts w:hint="eastAsia" w:ascii="方正黑体_GBK" w:eastAsia="方正黑体_GBK"/>
                <w:vanish w:val="0"/>
                <w:kern w:val="2"/>
                <w:sz w:val="28"/>
                <w:szCs w:val="28"/>
              </w:rPr>
              <w:t>论文题目</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576" w:lineRule="exact"/>
              <w:ind w:left="0" w:right="0" w:firstLine="0"/>
              <w:contextualSpacing w:val="0"/>
              <w:jc w:val="center"/>
              <w:textAlignment w:val="center"/>
              <w:rPr>
                <w:rFonts w:hint="eastAsia" w:ascii="方正黑体_GBK" w:eastAsia="方正黑体_GBK"/>
                <w:sz w:val="28"/>
                <w:szCs w:val="28"/>
                <w:lang w:val="en-US" w:eastAsia="zh-CN"/>
              </w:rPr>
            </w:pPr>
            <w:r>
              <w:rPr>
                <w:rFonts w:hint="eastAsia" w:ascii="方正黑体_GBK" w:eastAsia="方正黑体_GBK"/>
                <w:sz w:val="28"/>
                <w:szCs w:val="28"/>
                <w:lang w:val="en-US" w:eastAsia="zh-CN"/>
              </w:rPr>
              <w:t>得分</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576" w:lineRule="exact"/>
              <w:ind w:left="0" w:right="0" w:firstLine="0"/>
              <w:contextualSpacing w:val="0"/>
              <w:jc w:val="center"/>
              <w:textAlignment w:val="center"/>
              <w:rPr>
                <w:rFonts w:hint="eastAsia" w:ascii="方正黑体_GBK" w:eastAsia="方正黑体_GBK"/>
                <w:sz w:val="28"/>
                <w:szCs w:val="28"/>
                <w:lang w:val="en-US" w:eastAsia="zh-CN"/>
              </w:rPr>
            </w:pPr>
            <w:r>
              <w:rPr>
                <w:rFonts w:hint="eastAsia" w:ascii="方正黑体_GBK" w:eastAsia="方正黑体_GBK"/>
                <w:sz w:val="28"/>
                <w:szCs w:val="28"/>
                <w:lang w:val="en-US" w:eastAsia="zh-CN"/>
              </w:rPr>
              <w:t>获奖等次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2" w:hRule="atLeast"/>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hint="eastAsia" w:ascii="楷体_GB2312" w:eastAsia="楷体_GB2312"/>
                <w:sz w:val="24"/>
                <w:szCs w:val="24"/>
              </w:rPr>
            </w:pPr>
            <w:r>
              <w:rPr>
                <w:rFonts w:hint="eastAsia" w:ascii="楷体_GB2312" w:eastAsia="楷体_GB2312"/>
                <w:sz w:val="24"/>
                <w:szCs w:val="24"/>
              </w:rPr>
              <w:t>1</w:t>
            </w:r>
          </w:p>
        </w:tc>
        <w:tc>
          <w:tcPr>
            <w:tcW w:w="61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bCs/>
                <w:sz w:val="24"/>
                <w:szCs w:val="24"/>
              </w:rPr>
              <w:t>清江河多鳞白甲鱼人工繁殖技术</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ascii="楷体_GB2312" w:eastAsia="楷体_GB2312" w:cs="Times New Roman"/>
                <w:snapToGrid/>
                <w:color w:val="auto"/>
                <w:spacing w:val="-2"/>
                <w:w w:val="90"/>
                <w:kern w:val="2"/>
                <w:position w:val="0"/>
                <w:sz w:val="24"/>
                <w:szCs w:val="24"/>
                <w:u w:val="none" w:color="auto"/>
                <w:shd w:val="clear" w:color="auto" w:fill="auto"/>
                <w:vertAlign w:val="baseline"/>
                <w:lang w:val="en-US" w:eastAsia="zh-CN" w:bidi="ar-SA"/>
              </w:rPr>
            </w:pPr>
            <w:r>
              <w:rPr>
                <w:rFonts w:hint="eastAsia" w:ascii="楷体_GB2312" w:eastAsia="楷体_GB2312"/>
                <w:spacing w:val="-2"/>
                <w:w w:val="90"/>
                <w:sz w:val="24"/>
                <w:szCs w:val="24"/>
                <w:lang w:val="en-US" w:eastAsia="zh-CN"/>
              </w:rPr>
              <w:t>106.66</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楷体_GB2312" w:eastAsia="楷体_GB2312"/>
                <w:sz w:val="28"/>
                <w:szCs w:val="28"/>
              </w:rPr>
            </w:pPr>
            <w:r>
              <w:rPr>
                <w:rFonts w:ascii="楷体_GB2312" w:eastAsia="楷体_GB2312"/>
                <w:sz w:val="28"/>
                <w:szCs w:val="28"/>
              </w:rPr>
              <w:t>一等奖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2" w:hRule="atLeast"/>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hint="eastAsia" w:eastAsia="宋体"/>
                <w:lang w:val="en-US" w:eastAsia="zh-CN"/>
              </w:rPr>
            </w:pPr>
            <w:r>
              <w:rPr>
                <w:rFonts w:hint="eastAsia"/>
                <w:lang w:val="en-US" w:eastAsia="zh-CN"/>
              </w:rPr>
              <w:t>2</w:t>
            </w:r>
          </w:p>
          <w:p>
            <w:pPr>
              <w:pStyle w:val="9"/>
              <w:jc w:val="both"/>
              <w:rPr>
                <w:rFonts w:hint="eastAsia"/>
              </w:rPr>
            </w:pPr>
          </w:p>
        </w:tc>
        <w:tc>
          <w:tcPr>
            <w:tcW w:w="6130"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rPr>
              <w:t>国内16个核桃品种主要营养成分特性研究</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ascii="楷体_GB2312" w:eastAsia="楷体_GB2312" w:cs="Times New Roman"/>
                <w:snapToGrid/>
                <w:color w:val="auto"/>
                <w:spacing w:val="-2"/>
                <w:w w:val="90"/>
                <w:kern w:val="2"/>
                <w:position w:val="0"/>
                <w:sz w:val="24"/>
                <w:szCs w:val="24"/>
                <w:u w:val="none" w:color="auto"/>
                <w:shd w:val="clear" w:color="auto" w:fill="auto"/>
                <w:vertAlign w:val="baseline"/>
                <w:lang w:val="en-US" w:eastAsia="zh-CN" w:bidi="ar-SA"/>
              </w:rPr>
            </w:pPr>
            <w:r>
              <w:rPr>
                <w:rFonts w:hint="eastAsia" w:ascii="楷体_GB2312" w:eastAsia="楷体_GB2312"/>
                <w:spacing w:val="-2"/>
                <w:w w:val="90"/>
                <w:sz w:val="24"/>
                <w:szCs w:val="24"/>
                <w:lang w:val="en-US" w:eastAsia="zh-CN"/>
              </w:rPr>
              <w:t>106.66</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楷体_GB2312" w:eastAsia="楷体_GB2312"/>
                <w:bCs/>
                <w:sz w:val="28"/>
                <w:szCs w:val="28"/>
                <w:lang w:bidi="ar-SA"/>
              </w:rPr>
            </w:pPr>
            <w:r>
              <w:rPr>
                <w:rFonts w:ascii="楷体_GB2312" w:eastAsia="楷体_GB2312"/>
                <w:bCs/>
                <w:sz w:val="28"/>
                <w:szCs w:val="28"/>
              </w:rPr>
              <w:t>一等奖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2" w:hRule="atLeast"/>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hint="eastAsia" w:ascii="楷体_GB2312" w:eastAsia="楷体_GB2312"/>
                <w:sz w:val="24"/>
                <w:szCs w:val="24"/>
                <w:lang w:val="en-US" w:eastAsia="zh-CN"/>
              </w:rPr>
            </w:pPr>
            <w:r>
              <w:rPr>
                <w:rFonts w:hint="eastAsia" w:ascii="楷体_GB2312" w:eastAsia="楷体_GB2312"/>
                <w:sz w:val="24"/>
                <w:szCs w:val="24"/>
                <w:lang w:val="en-US" w:eastAsia="zh-CN"/>
              </w:rPr>
              <w:t>3</w:t>
            </w:r>
          </w:p>
        </w:tc>
        <w:tc>
          <w:tcPr>
            <w:tcW w:w="6130"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rPr>
              <w:t>水溶性铜锌复合微肥对魔芋光合特性影响研究</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2"/>
                <w:w w:val="90"/>
                <w:kern w:val="2"/>
                <w:position w:val="0"/>
                <w:sz w:val="24"/>
                <w:szCs w:val="24"/>
                <w:u w:val="none" w:color="auto"/>
                <w:shd w:val="clear" w:color="auto" w:fill="auto"/>
                <w:vertAlign w:val="baseline"/>
                <w:lang w:val="en-US" w:eastAsia="zh-CN" w:bidi="ar-SA"/>
              </w:rPr>
            </w:pPr>
            <w:r>
              <w:rPr>
                <w:rFonts w:hint="eastAsia" w:ascii="楷体_GB2312" w:eastAsia="楷体_GB2312"/>
                <w:spacing w:val="-2"/>
                <w:w w:val="90"/>
                <w:sz w:val="24"/>
                <w:szCs w:val="24"/>
                <w:lang w:val="en-US" w:eastAsia="zh-CN"/>
              </w:rPr>
              <w:t>102.33</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楷体_GB2312" w:eastAsia="楷体_GB2312"/>
                <w:sz w:val="28"/>
                <w:szCs w:val="28"/>
              </w:rPr>
            </w:pPr>
            <w:r>
              <w:rPr>
                <w:rFonts w:ascii="楷体_GB2312" w:eastAsia="楷体_GB2312"/>
                <w:sz w:val="28"/>
                <w:szCs w:val="28"/>
              </w:rPr>
              <w:t>一等奖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2" w:hRule="atLeast"/>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hint="eastAsia" w:ascii="楷体_GB2312" w:eastAsia="楷体_GB2312"/>
                <w:sz w:val="24"/>
                <w:szCs w:val="24"/>
                <w:lang w:val="en-US" w:eastAsia="zh-CN"/>
              </w:rPr>
            </w:pPr>
            <w:r>
              <w:rPr>
                <w:rFonts w:hint="eastAsia" w:ascii="楷体_GB2312" w:eastAsia="楷体_GB2312"/>
                <w:sz w:val="24"/>
                <w:szCs w:val="24"/>
                <w:lang w:val="en-US" w:eastAsia="zh-CN"/>
              </w:rPr>
              <w:t>4</w:t>
            </w:r>
          </w:p>
        </w:tc>
        <w:tc>
          <w:tcPr>
            <w:tcW w:w="6130"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rPr>
              <w:t>广元栽培茯苓质量分析及特色探讨</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94</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二等奖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2" w:hRule="atLeast"/>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hint="eastAsia" w:ascii="楷体_GB2312" w:eastAsia="楷体_GB2312"/>
                <w:sz w:val="24"/>
                <w:szCs w:val="24"/>
                <w:lang w:val="en-US" w:eastAsia="zh-CN"/>
              </w:rPr>
            </w:pPr>
            <w:r>
              <w:rPr>
                <w:rFonts w:hint="eastAsia" w:ascii="楷体_GB2312" w:eastAsia="楷体_GB2312"/>
                <w:sz w:val="24"/>
                <w:szCs w:val="24"/>
                <w:lang w:val="en-US" w:eastAsia="zh-CN"/>
              </w:rPr>
              <w:t>5</w:t>
            </w:r>
          </w:p>
        </w:tc>
        <w:tc>
          <w:tcPr>
            <w:tcW w:w="61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rPr>
              <w:t>新时期广元灰鸡产业发展之路探析</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92</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二等奖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2" w:hRule="atLeast"/>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hint="eastAsia" w:ascii="楷体_GB2312" w:eastAsia="楷体_GB2312"/>
                <w:sz w:val="24"/>
                <w:szCs w:val="24"/>
                <w:lang w:val="en-US" w:eastAsia="zh-CN"/>
              </w:rPr>
            </w:pPr>
            <w:r>
              <w:rPr>
                <w:rFonts w:hint="eastAsia" w:ascii="楷体_GB2312" w:eastAsia="楷体_GB2312"/>
                <w:sz w:val="24"/>
                <w:szCs w:val="24"/>
                <w:lang w:val="en-US" w:eastAsia="zh-CN"/>
              </w:rPr>
              <w:t>6</w:t>
            </w:r>
          </w:p>
        </w:tc>
        <w:tc>
          <w:tcPr>
            <w:tcW w:w="61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rPr>
              <w:t>旺苍县茶树种质资源保护利用探讨</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91.66</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二等奖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2" w:hRule="atLeast"/>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hint="eastAsia" w:ascii="楷体_GB2312" w:eastAsia="楷体_GB2312"/>
                <w:sz w:val="24"/>
                <w:szCs w:val="24"/>
                <w:lang w:val="en-US" w:eastAsia="zh-CN"/>
              </w:rPr>
            </w:pPr>
            <w:r>
              <w:rPr>
                <w:rFonts w:hint="eastAsia" w:ascii="楷体_GB2312" w:eastAsia="楷体_GB2312"/>
                <w:sz w:val="24"/>
                <w:szCs w:val="24"/>
                <w:lang w:val="en-US" w:eastAsia="zh-CN"/>
              </w:rPr>
              <w:t>7</w:t>
            </w:r>
          </w:p>
        </w:tc>
        <w:tc>
          <w:tcPr>
            <w:tcW w:w="61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rPr>
              <w:t>建设广元新型农业服务体系的思考</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90.66</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二等奖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hint="eastAsia" w:ascii="楷体_GB2312" w:eastAsia="楷体_GB2312"/>
                <w:sz w:val="24"/>
                <w:szCs w:val="24"/>
                <w:lang w:eastAsia="zh-CN"/>
              </w:rPr>
            </w:pPr>
            <w:r>
              <w:rPr>
                <w:rFonts w:hint="eastAsia" w:ascii="楷体_GB2312" w:eastAsia="楷体_GB2312"/>
                <w:sz w:val="24"/>
                <w:szCs w:val="24"/>
                <w:lang w:val="en-US" w:eastAsia="zh-CN"/>
              </w:rPr>
              <w:t>8</w:t>
            </w:r>
          </w:p>
        </w:tc>
        <w:tc>
          <w:tcPr>
            <w:tcW w:w="61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rPr>
              <w:t>植物源性外泌体在炎症性疾病治疗中的应用进展</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88.66</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二等奖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hint="eastAsia" w:ascii="楷体_GB2312" w:eastAsia="楷体_GB2312"/>
                <w:sz w:val="24"/>
                <w:szCs w:val="24"/>
                <w:lang w:eastAsia="zh-CN"/>
              </w:rPr>
            </w:pPr>
            <w:r>
              <w:rPr>
                <w:rFonts w:hint="eastAsia" w:ascii="楷体_GB2312" w:eastAsia="楷体_GB2312"/>
                <w:sz w:val="24"/>
                <w:szCs w:val="24"/>
                <w:lang w:val="en-US" w:eastAsia="zh-CN"/>
              </w:rPr>
              <w:t>9</w:t>
            </w:r>
          </w:p>
        </w:tc>
        <w:tc>
          <w:tcPr>
            <w:tcW w:w="61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rPr>
              <w:t>高产优质青贮玉米广青六号</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83.66</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ascii="楷体_GB2312" w:eastAsia="楷体_GB2312"/>
                <w:sz w:val="24"/>
                <w:szCs w:val="24"/>
                <w:lang w:val="en-US" w:eastAsia="zh-CN"/>
              </w:rPr>
            </w:pPr>
            <w:r>
              <w:rPr>
                <w:rFonts w:hint="eastAsia" w:ascii="楷体_GB2312" w:eastAsia="楷体_GB2312"/>
                <w:sz w:val="24"/>
                <w:szCs w:val="24"/>
                <w:lang w:val="en-US" w:eastAsia="zh-CN"/>
              </w:rPr>
              <w:t>10</w:t>
            </w:r>
          </w:p>
        </w:tc>
        <w:tc>
          <w:tcPr>
            <w:tcW w:w="6130"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rPr>
              <w:t>延迟投饵和不同开口饵料对中华花鳅仔鱼生长的影响</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82.33</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ascii="楷体_GB2312" w:eastAsia="楷体_GB2312"/>
                <w:sz w:val="24"/>
                <w:szCs w:val="24"/>
                <w:lang w:val="en-US" w:eastAsia="zh-CN"/>
              </w:rPr>
            </w:pPr>
            <w:r>
              <w:rPr>
                <w:rFonts w:hint="eastAsia" w:ascii="楷体_GB2312" w:eastAsia="楷体_GB2312"/>
                <w:sz w:val="24"/>
                <w:szCs w:val="24"/>
                <w:lang w:val="en-US" w:eastAsia="zh-CN"/>
              </w:rPr>
              <w:t>11</w:t>
            </w:r>
          </w:p>
        </w:tc>
        <w:tc>
          <w:tcPr>
            <w:tcW w:w="6130"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rPr>
              <w:t>森林防火科技创新与可持续发展路径探讨</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82.33</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ascii="楷体_GB2312" w:eastAsia="楷体_GB2312"/>
                <w:sz w:val="24"/>
                <w:szCs w:val="24"/>
                <w:lang w:val="en-US" w:eastAsia="zh-CN"/>
              </w:rPr>
            </w:pPr>
            <w:r>
              <w:rPr>
                <w:rFonts w:hint="eastAsia" w:ascii="楷体_GB2312" w:eastAsia="楷体_GB2312"/>
                <w:sz w:val="24"/>
                <w:szCs w:val="24"/>
                <w:lang w:val="en-US" w:eastAsia="zh-CN"/>
              </w:rPr>
              <w:t>12</w:t>
            </w:r>
          </w:p>
        </w:tc>
        <w:tc>
          <w:tcPr>
            <w:tcW w:w="6130"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rPr>
              <w:t>广元地区天然林保护工程成果及价值研究</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82</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ascii="楷体_GB2312" w:eastAsia="楷体_GB2312"/>
                <w:sz w:val="24"/>
                <w:szCs w:val="24"/>
                <w:lang w:val="en-US" w:eastAsia="zh-CN"/>
              </w:rPr>
            </w:pPr>
            <w:r>
              <w:rPr>
                <w:rFonts w:hint="eastAsia" w:ascii="楷体_GB2312" w:eastAsia="楷体_GB2312"/>
                <w:sz w:val="24"/>
                <w:szCs w:val="24"/>
                <w:lang w:val="en-US" w:eastAsia="zh-CN"/>
              </w:rPr>
              <w:t>13</w:t>
            </w:r>
          </w:p>
        </w:tc>
        <w:tc>
          <w:tcPr>
            <w:tcW w:w="61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rPr>
              <w:t>口蹄疫诊断方法的研究进展</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80.66</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ascii="楷体_GB2312" w:eastAsia="楷体_GB2312"/>
                <w:sz w:val="24"/>
                <w:szCs w:val="24"/>
                <w:lang w:val="en-US" w:eastAsia="zh-CN"/>
              </w:rPr>
            </w:pPr>
            <w:r>
              <w:rPr>
                <w:rFonts w:hint="eastAsia" w:ascii="楷体_GB2312" w:eastAsia="楷体_GB2312"/>
                <w:sz w:val="24"/>
                <w:szCs w:val="24"/>
                <w:lang w:val="en-US" w:eastAsia="zh-CN"/>
              </w:rPr>
              <w:t>14</w:t>
            </w:r>
          </w:p>
        </w:tc>
        <w:tc>
          <w:tcPr>
            <w:tcW w:w="61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rPr>
              <w:t>川北血桃性状表现及配套栽培技术</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80.33</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5" w:hRule="atLeast"/>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ascii="楷体_GB2312" w:eastAsia="楷体_GB2312"/>
                <w:sz w:val="24"/>
                <w:szCs w:val="24"/>
                <w:lang w:val="en-US" w:eastAsia="zh-CN"/>
              </w:rPr>
            </w:pPr>
            <w:r>
              <w:rPr>
                <w:rFonts w:hint="eastAsia" w:ascii="楷体_GB2312" w:eastAsia="楷体_GB2312"/>
                <w:sz w:val="24"/>
                <w:szCs w:val="24"/>
                <w:lang w:val="en-US" w:eastAsia="zh-CN"/>
              </w:rPr>
              <w:t>15</w:t>
            </w:r>
          </w:p>
        </w:tc>
        <w:tc>
          <w:tcPr>
            <w:tcW w:w="61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rPr>
              <w:t>不同施肥模式对旺苍县茶园土壤养分及产量的影响</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80</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5" w:hRule="atLeast"/>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ascii="楷体_GB2312" w:eastAsia="楷体_GB2312"/>
                <w:sz w:val="24"/>
                <w:szCs w:val="24"/>
                <w:lang w:val="en-US" w:eastAsia="zh-CN"/>
              </w:rPr>
            </w:pPr>
            <w:r>
              <w:rPr>
                <w:rFonts w:hint="eastAsia" w:ascii="楷体_GB2312" w:eastAsia="楷体_GB2312"/>
                <w:sz w:val="24"/>
                <w:szCs w:val="24"/>
                <w:lang w:val="en-US" w:eastAsia="zh-CN"/>
              </w:rPr>
              <w:t>16</w:t>
            </w:r>
          </w:p>
        </w:tc>
        <w:tc>
          <w:tcPr>
            <w:tcW w:w="6130"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rPr>
              <w:t>四川省鸟类新记录——白枕鹤</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79</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5" w:hRule="atLeast"/>
        </w:trPr>
        <w:tc>
          <w:tcPr>
            <w:tcW w:w="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contextualSpacing w:val="0"/>
              <w:jc w:val="both"/>
              <w:rPr>
                <w:rFonts w:ascii="楷体_GB2312" w:eastAsia="楷体_GB2312"/>
                <w:sz w:val="24"/>
                <w:szCs w:val="24"/>
                <w:lang w:val="en-US" w:eastAsia="zh-CN"/>
              </w:rPr>
            </w:pPr>
            <w:r>
              <w:rPr>
                <w:rFonts w:hint="eastAsia" w:ascii="楷体_GB2312" w:eastAsia="楷体_GB2312"/>
                <w:sz w:val="24"/>
                <w:szCs w:val="24"/>
                <w:lang w:val="en-US" w:eastAsia="zh-CN"/>
              </w:rPr>
              <w:t>17</w:t>
            </w:r>
          </w:p>
        </w:tc>
        <w:tc>
          <w:tcPr>
            <w:tcW w:w="61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rPr>
              <w:t>旺苍县大豆玉米带状复合种植模式探索</w:t>
            </w:r>
          </w:p>
        </w:tc>
        <w:tc>
          <w:tcPr>
            <w:tcW w:w="8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76" w:lineRule="exact"/>
              <w:ind w:left="0" w:right="0" w:firstLine="0"/>
              <w:contextualSpacing w:val="0"/>
              <w:jc w:val="both"/>
              <w:rPr>
                <w:rFonts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78.66</w:t>
            </w:r>
          </w:p>
        </w:tc>
        <w:tc>
          <w:tcPr>
            <w:tcW w:w="1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三等奖</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spacing w:line="576" w:lineRule="exact"/>
        <w:jc w:val="both"/>
        <w:rPr>
          <w:rFonts w:ascii="方正黑体_GBK" w:eastAsia="方正黑体_GBK" w:cs="方正黑体_GBK"/>
          <w:vanish w:val="0"/>
          <w:color w:val="auto"/>
          <w:kern w:val="0"/>
          <w:sz w:val="36"/>
          <w:szCs w:val="36"/>
          <w:lang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spacing w:line="576" w:lineRule="exact"/>
        <w:jc w:val="both"/>
        <w:rPr>
          <w:rFonts w:hint="eastAsia" w:ascii="方正黑体_GBK" w:eastAsia="方正黑体_GBK" w:cs="方正黑体_GBK"/>
          <w:kern w:val="0"/>
          <w:sz w:val="36"/>
          <w:szCs w:val="36"/>
        </w:rPr>
      </w:pPr>
      <w:r>
        <w:rPr>
          <w:rFonts w:hint="eastAsia" w:ascii="方正黑体_GBK" w:eastAsia="方正黑体_GBK" w:cs="方正黑体_GBK"/>
          <w:vanish w:val="0"/>
          <w:color w:val="auto"/>
          <w:kern w:val="0"/>
          <w:sz w:val="36"/>
          <w:szCs w:val="36"/>
          <w:lang w:eastAsia="zh-CN"/>
        </w:rPr>
        <w:t>三、医卫</w:t>
      </w:r>
      <w:r>
        <w:rPr>
          <w:rFonts w:hint="eastAsia" w:ascii="方正黑体_GBK" w:eastAsia="方正黑体_GBK" w:cs="方正黑体_GBK"/>
          <w:vanish w:val="0"/>
          <w:color w:val="auto"/>
          <w:kern w:val="0"/>
          <w:sz w:val="36"/>
          <w:szCs w:val="36"/>
          <w:lang w:val="en-US" w:eastAsia="zh-CN"/>
        </w:rPr>
        <w:t>类</w:t>
      </w:r>
    </w:p>
    <w:tbl>
      <w:tblPr>
        <w:tblStyle w:val="6"/>
        <w:tblW w:w="9177" w:type="dxa"/>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13"/>
        <w:gridCol w:w="848"/>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hidden/>
        </w:trPr>
        <w:tc>
          <w:tcPr>
            <w:tcW w:w="855" w:type="dxa"/>
            <w:tcBorders>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00" w:lineRule="exact"/>
              <w:ind w:left="0" w:right="0"/>
              <w:contextualSpacing w:val="0"/>
              <w:jc w:val="both"/>
              <w:rPr>
                <w:rFonts w:hint="eastAsia" w:ascii="黑体" w:eastAsia="黑体"/>
                <w:vanish w:val="0"/>
                <w:kern w:val="2"/>
                <w:sz w:val="28"/>
                <w:szCs w:val="28"/>
              </w:rPr>
            </w:pPr>
            <w:r>
              <w:rPr>
                <w:rFonts w:hint="eastAsia" w:ascii="黑体" w:eastAsia="黑体"/>
                <w:vanish w:val="0"/>
                <w:kern w:val="2"/>
                <w:sz w:val="28"/>
                <w:szCs w:val="28"/>
              </w:rPr>
              <w:t>序号</w:t>
            </w:r>
          </w:p>
        </w:tc>
        <w:tc>
          <w:tcPr>
            <w:tcW w:w="6113" w:type="dxa"/>
            <w:tcBorders>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400" w:lineRule="exact"/>
              <w:ind w:left="0" w:right="0"/>
              <w:contextualSpacing w:val="0"/>
              <w:jc w:val="center"/>
              <w:rPr>
                <w:rFonts w:hint="eastAsia" w:ascii="方正黑体_GBK" w:eastAsia="方正黑体_GBK"/>
                <w:vanish w:val="0"/>
                <w:kern w:val="2"/>
                <w:sz w:val="28"/>
                <w:szCs w:val="28"/>
              </w:rPr>
            </w:pPr>
            <w:r>
              <w:rPr>
                <w:rFonts w:hint="eastAsia" w:ascii="方正黑体_GBK" w:eastAsia="方正黑体_GBK"/>
                <w:vanish w:val="0"/>
                <w:kern w:val="2"/>
                <w:sz w:val="28"/>
                <w:szCs w:val="28"/>
              </w:rPr>
              <w:t>论文题目</w:t>
            </w:r>
          </w:p>
        </w:tc>
        <w:tc>
          <w:tcPr>
            <w:tcW w:w="848"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400" w:lineRule="exact"/>
              <w:ind w:left="0" w:right="0" w:firstLine="0"/>
              <w:contextualSpacing w:val="0"/>
              <w:jc w:val="center"/>
              <w:textAlignment w:val="center"/>
              <w:rPr>
                <w:rFonts w:hint="eastAsia" w:ascii="方正黑体_GBK" w:eastAsia="方正黑体_GBK"/>
                <w:sz w:val="28"/>
                <w:szCs w:val="28"/>
                <w:lang w:val="en-US" w:eastAsia="zh-CN"/>
              </w:rPr>
            </w:pPr>
            <w:r>
              <w:rPr>
                <w:rFonts w:hint="eastAsia" w:ascii="方正黑体_GBK" w:eastAsia="方正黑体_GBK"/>
                <w:sz w:val="28"/>
                <w:szCs w:val="28"/>
                <w:lang w:val="en-US" w:eastAsia="zh-CN"/>
              </w:rPr>
              <w:t>得分</w:t>
            </w:r>
          </w:p>
        </w:tc>
        <w:tc>
          <w:tcPr>
            <w:tcW w:w="1361"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400" w:lineRule="exact"/>
              <w:ind w:left="0" w:right="0" w:firstLine="0"/>
              <w:contextualSpacing w:val="0"/>
              <w:jc w:val="center"/>
              <w:textAlignment w:val="center"/>
              <w:rPr>
                <w:rFonts w:hint="eastAsia" w:ascii="方正黑体_GBK" w:eastAsia="方正黑体_GBK"/>
                <w:sz w:val="28"/>
                <w:szCs w:val="28"/>
                <w:lang w:val="en-US" w:eastAsia="zh-CN"/>
              </w:rPr>
            </w:pPr>
            <w:r>
              <w:rPr>
                <w:rFonts w:hint="eastAsia" w:ascii="方正黑体_GBK" w:eastAsia="方正黑体_GBK"/>
                <w:sz w:val="28"/>
                <w:szCs w:val="28"/>
                <w:lang w:val="en-US" w:eastAsia="zh-CN"/>
              </w:rPr>
              <w:t>获奖等次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contextualSpacing w:val="0"/>
              <w:jc w:val="both"/>
              <w:rPr>
                <w:rFonts w:hint="eastAsia" w:ascii="楷体_GB2312" w:eastAsia="楷体_GB2312" w:cs="宋体"/>
                <w:sz w:val="24"/>
                <w:szCs w:val="24"/>
                <w:lang w:val="en-US" w:eastAsia="zh-CN" w:bidi="ar-SA"/>
              </w:rPr>
            </w:pPr>
            <w:r>
              <w:rPr>
                <w:rFonts w:hint="eastAsia" w:ascii="楷体_GB2312" w:eastAsia="楷体_GB2312" w:cs="宋体"/>
                <w:sz w:val="24"/>
                <w:szCs w:val="24"/>
                <w:lang w:val="en-US" w:eastAsia="zh-CN" w:bidi="ar-SA"/>
              </w:rPr>
              <w:t>1</w:t>
            </w:r>
          </w:p>
        </w:tc>
        <w:tc>
          <w:tcPr>
            <w:tcW w:w="6113"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contextualSpacing w:val="0"/>
              <w:jc w:val="both"/>
              <w:rPr>
                <w:rFonts w:hint="eastAsia" w:ascii="楷体_GB2312" w:eastAsia="楷体_GB2312" w:cs="宋体"/>
                <w:lang w:val="en-US" w:eastAsia="zh-CN" w:bidi="ar-SA"/>
              </w:rPr>
            </w:pPr>
            <w:r>
              <w:rPr>
                <w:rFonts w:hint="eastAsia" w:ascii="楷体_GB2312" w:eastAsia="楷体_GB2312" w:cs="宋体"/>
                <w:lang w:val="en-US" w:eastAsia="zh-CN" w:bidi="ar-SA"/>
              </w:rPr>
              <w:t>Antibacterial and antioxidant bifunctional hydrogel based on hyaluronic acid complex MoS2–dithiothreitol nanozyme for treatment of infected wounds</w:t>
            </w:r>
          </w:p>
        </w:tc>
        <w:tc>
          <w:tcPr>
            <w:tcW w:w="84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contextualSpacing w:val="0"/>
              <w:jc w:val="both"/>
              <w:rPr>
                <w:rFonts w:ascii="楷体_GB2312" w:eastAsia="楷体_GB2312"/>
                <w:sz w:val="24"/>
                <w:szCs w:val="24"/>
                <w:lang w:val="en-US" w:eastAsia="zh-CN"/>
              </w:rPr>
            </w:pPr>
            <w:r>
              <w:rPr>
                <w:rFonts w:hint="eastAsia" w:ascii="楷体_GB2312" w:eastAsia="楷体_GB2312"/>
                <w:sz w:val="24"/>
                <w:szCs w:val="24"/>
                <w:lang w:val="en-US" w:eastAsia="zh-CN"/>
              </w:rPr>
              <w:t>91.7</w:t>
            </w:r>
          </w:p>
        </w:tc>
        <w:tc>
          <w:tcPr>
            <w:tcW w:w="1361" w:type="dxa"/>
            <w:tcBorders>
              <w:tl2br w:val="nil"/>
              <w:tr2bl w:val="nil"/>
            </w:tcBorders>
            <w:vAlign w:val="center"/>
          </w:tcPr>
          <w:p>
            <w:pPr>
              <w:jc w:val="center"/>
              <w:rPr>
                <w:rFonts w:hint="eastAsia" w:ascii="楷体_GB2312" w:eastAsia="楷体_GB2312"/>
                <w:sz w:val="28"/>
                <w:szCs w:val="28"/>
                <w:lang w:val="en-US" w:eastAsia="zh-CN"/>
              </w:rPr>
            </w:pPr>
            <w:r>
              <w:rPr>
                <w:rFonts w:ascii="楷体_GB2312" w:eastAsia="楷体_GB2312"/>
                <w:sz w:val="28"/>
                <w:szCs w:val="28"/>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contextualSpacing w:val="0"/>
              <w:jc w:val="both"/>
              <w:rPr>
                <w:rFonts w:ascii="楷体_GB2312" w:eastAsia="楷体_GB2312" w:cs="宋体"/>
                <w:sz w:val="24"/>
                <w:szCs w:val="24"/>
                <w:lang w:val="en-US" w:eastAsia="zh-CN" w:bidi="ar-SA"/>
              </w:rPr>
            </w:pPr>
            <w:r>
              <w:rPr>
                <w:rFonts w:hint="eastAsia" w:ascii="楷体_GB2312" w:eastAsia="楷体_GB2312" w:cs="宋体"/>
                <w:sz w:val="24"/>
                <w:szCs w:val="24"/>
                <w:lang w:val="en-US" w:eastAsia="zh-CN" w:bidi="ar-SA"/>
              </w:rPr>
              <w:t>2</w:t>
            </w:r>
          </w:p>
        </w:tc>
        <w:tc>
          <w:tcPr>
            <w:tcW w:w="6113" w:type="dxa"/>
            <w:tcBorders>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val="en-US" w:eastAsia="zh-CN" w:bidi="ar-SA"/>
              </w:rPr>
              <w:t>复方丹参注射液联合替诺福韦酯治疗对乙肝肝硬化失代偿期肝脏硬度及血清Th1/Th2型细胞因子表达的影响</w:t>
            </w:r>
          </w:p>
        </w:tc>
        <w:tc>
          <w:tcPr>
            <w:tcW w:w="84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90.3</w:t>
            </w:r>
          </w:p>
        </w:tc>
        <w:tc>
          <w:tcPr>
            <w:tcW w:w="1361" w:type="dxa"/>
            <w:tcBorders>
              <w:tl2br w:val="nil"/>
              <w:tr2bl w:val="nil"/>
            </w:tcBorders>
            <w:vAlign w:val="center"/>
          </w:tcPr>
          <w:p>
            <w:pPr>
              <w:jc w:val="center"/>
              <w:rPr>
                <w:rFonts w:hint="eastAsia" w:ascii="楷体_GB2312" w:eastAsia="楷体_GB2312"/>
                <w:bCs/>
                <w:sz w:val="28"/>
                <w:szCs w:val="28"/>
                <w:lang w:val="en-US" w:eastAsia="zh-CN" w:bidi="ar-SA"/>
              </w:rPr>
            </w:pPr>
            <w:r>
              <w:rPr>
                <w:rFonts w:ascii="楷体_GB2312" w:eastAsia="楷体_GB2312"/>
                <w:bCs/>
                <w:sz w:val="28"/>
                <w:szCs w:val="28"/>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5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contextualSpacing w:val="0"/>
              <w:jc w:val="both"/>
              <w:rPr>
                <w:rFonts w:ascii="楷体_GB2312" w:eastAsia="楷体_GB2312" w:cs="宋体"/>
                <w:sz w:val="24"/>
                <w:szCs w:val="24"/>
                <w:lang w:val="en-US" w:eastAsia="zh-CN" w:bidi="ar-SA"/>
              </w:rPr>
            </w:pPr>
            <w:r>
              <w:rPr>
                <w:rFonts w:hint="eastAsia" w:ascii="楷体_GB2312" w:eastAsia="楷体_GB2312" w:cs="宋体"/>
                <w:sz w:val="24"/>
                <w:szCs w:val="24"/>
                <w:lang w:val="en-US" w:eastAsia="zh-CN" w:bidi="ar-SA"/>
              </w:rPr>
              <w:t>3</w:t>
            </w:r>
          </w:p>
        </w:tc>
        <w:tc>
          <w:tcPr>
            <w:tcW w:w="6113"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contextualSpacing w:val="0"/>
              <w:jc w:val="both"/>
              <w:rPr>
                <w:rFonts w:hint="eastAsia" w:ascii="楷体_GB2312" w:eastAsia="楷体_GB2312" w:cs="宋体"/>
                <w:lang w:val="en-US" w:eastAsia="zh-CN" w:bidi="ar-SA"/>
              </w:rPr>
            </w:pPr>
            <w:r>
              <w:rPr>
                <w:rFonts w:hint="eastAsia" w:ascii="楷体_GB2312" w:eastAsia="楷体_GB2312" w:cs="宋体"/>
                <w:lang w:val="en-US" w:eastAsia="zh-CN" w:bidi="ar-SA"/>
              </w:rPr>
              <w:t>Crosstalk between septic shock and venous</w:t>
            </w:r>
          </w:p>
          <w:p>
            <w:pPr>
              <w:keepNext w:val="0"/>
              <w:keepLines w:val="0"/>
              <w:pageBreakBefore w:val="0"/>
              <w:widowControl w:val="0"/>
              <w:suppressLineNumbers w:val="0"/>
              <w:suppressAutoHyphens w:val="0"/>
              <w:kinsoku/>
              <w:wordWrap/>
              <w:overflowPunct/>
              <w:topLinePunct w:val="0"/>
              <w:autoSpaceDE/>
              <w:autoSpaceDN/>
              <w:bidi w:val="0"/>
              <w:adjustRightInd/>
              <w:snapToGrid/>
              <w:ind w:left="0" w:right="0" w:firstLine="0"/>
              <w:contextualSpacing w:val="0"/>
              <w:jc w:val="both"/>
              <w:rPr>
                <w:rFonts w:hint="eastAsia" w:ascii="楷体_GB2312" w:eastAsia="楷体_GB2312" w:cs="宋体"/>
                <w:snapToGrid/>
                <w:color w:val="auto"/>
                <w:spacing w:val="0"/>
                <w:w w:val="100"/>
                <w:kern w:val="2"/>
                <w:position w:val="0"/>
                <w:sz w:val="21"/>
                <w:szCs w:val="21"/>
                <w:u w:val="none" w:color="auto"/>
                <w:shd w:val="clear" w:color="auto" w:fill="auto"/>
                <w:vertAlign w:val="baseline"/>
                <w:lang w:val="en-US" w:eastAsia="zh-CN" w:bidi="ar-SA"/>
              </w:rPr>
            </w:pPr>
            <w:r>
              <w:rPr>
                <w:rFonts w:hint="eastAsia" w:ascii="楷体_GB2312" w:eastAsia="楷体_GB2312" w:cs="宋体"/>
                <w:lang w:val="en-US" w:eastAsia="zh-CN" w:bidi="ar-SA"/>
              </w:rPr>
              <w:t>thromboembolism:a bioinformatics and immunoassay analysis</w:t>
            </w:r>
          </w:p>
        </w:tc>
        <w:tc>
          <w:tcPr>
            <w:tcW w:w="84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83.3</w:t>
            </w:r>
          </w:p>
        </w:tc>
        <w:tc>
          <w:tcPr>
            <w:tcW w:w="1361" w:type="dxa"/>
            <w:tcBorders>
              <w:tl2br w:val="nil"/>
              <w:tr2bl w:val="nil"/>
            </w:tcBorders>
            <w:vAlign w:val="center"/>
          </w:tcPr>
          <w:p>
            <w:pPr>
              <w:jc w:val="center"/>
              <w:rPr>
                <w:rFonts w:ascii="楷体_GB2312" w:eastAsia="楷体_GB2312"/>
                <w:sz w:val="28"/>
                <w:szCs w:val="28"/>
              </w:rPr>
            </w:pPr>
            <w:r>
              <w:rPr>
                <w:rFonts w:ascii="楷体_GB2312" w:eastAsia="楷体_GB2312"/>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5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contextualSpacing w:val="0"/>
              <w:jc w:val="both"/>
              <w:rPr>
                <w:rFonts w:ascii="楷体_GB2312" w:eastAsia="楷体_GB2312" w:cs="宋体"/>
                <w:sz w:val="24"/>
                <w:szCs w:val="24"/>
                <w:lang w:val="en-US" w:eastAsia="zh-CN" w:bidi="ar-SA"/>
              </w:rPr>
            </w:pPr>
            <w:r>
              <w:rPr>
                <w:rFonts w:hint="eastAsia" w:ascii="楷体_GB2312" w:eastAsia="楷体_GB2312" w:cs="宋体"/>
                <w:sz w:val="24"/>
                <w:szCs w:val="24"/>
                <w:lang w:val="en-US" w:eastAsia="zh-CN" w:bidi="ar-SA"/>
              </w:rPr>
              <w:t>4</w:t>
            </w:r>
          </w:p>
        </w:tc>
        <w:tc>
          <w:tcPr>
            <w:tcW w:w="6113" w:type="dxa"/>
            <w:tcBorders>
              <w:tl2br w:val="nil"/>
              <w:tr2bl w:val="nil"/>
            </w:tcBorders>
          </w:tcPr>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ind w:left="0" w:right="0" w:firstLine="0"/>
              <w:contextualSpacing w:val="0"/>
              <w:jc w:val="both"/>
              <w:rPr>
                <w:rFonts w:hint="eastAsia" w:ascii="楷体_GB2312" w:eastAsia="楷体_GB2312" w:cs="宋体"/>
                <w:b w:val="0"/>
                <w:i w:val="0"/>
                <w:caps w:val="0"/>
                <w:smallCaps w:val="0"/>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b w:val="0"/>
                <w:i w:val="0"/>
                <w:caps w:val="0"/>
                <w:smallCaps w:val="0"/>
                <w:vanish w:val="0"/>
                <w:sz w:val="24"/>
                <w:szCs w:val="24"/>
                <w:lang w:val="en-US" w:eastAsia="zh-CN" w:bidi="ar-SA"/>
              </w:rPr>
              <w:t>Cancer Cell Membrane-Based Materials for Biomedical Applications</w:t>
            </w:r>
          </w:p>
        </w:tc>
        <w:tc>
          <w:tcPr>
            <w:tcW w:w="84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82.7</w:t>
            </w:r>
          </w:p>
        </w:tc>
        <w:tc>
          <w:tcPr>
            <w:tcW w:w="1361" w:type="dxa"/>
            <w:tcBorders>
              <w:tl2br w:val="nil"/>
              <w:tr2bl w:val="nil"/>
            </w:tcBorders>
            <w:vAlign w:val="center"/>
          </w:tcPr>
          <w:p>
            <w:pPr>
              <w:jc w:val="center"/>
              <w:rPr>
                <w:rFonts w:ascii="楷体_GB2312" w:eastAsia="楷体_GB2312"/>
                <w:sz w:val="28"/>
                <w:szCs w:val="28"/>
              </w:rPr>
            </w:pPr>
            <w:r>
              <w:rPr>
                <w:rFonts w:ascii="楷体_GB2312" w:eastAsia="楷体_GB2312"/>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contextualSpacing w:val="0"/>
              <w:jc w:val="both"/>
              <w:rPr>
                <w:rFonts w:ascii="楷体_GB2312" w:eastAsia="楷体_GB2312" w:cs="宋体"/>
                <w:sz w:val="24"/>
                <w:szCs w:val="24"/>
                <w:lang w:val="en-US" w:eastAsia="zh-CN" w:bidi="ar-SA"/>
              </w:rPr>
            </w:pPr>
            <w:r>
              <w:rPr>
                <w:rFonts w:hint="eastAsia" w:ascii="楷体_GB2312" w:eastAsia="楷体_GB2312" w:cs="宋体"/>
                <w:sz w:val="24"/>
                <w:szCs w:val="24"/>
                <w:lang w:val="en-US" w:eastAsia="zh-CN" w:bidi="ar-SA"/>
              </w:rPr>
              <w:t>5</w:t>
            </w:r>
          </w:p>
        </w:tc>
        <w:tc>
          <w:tcPr>
            <w:tcW w:w="6113" w:type="dxa"/>
            <w:tcBorders>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ind w:left="0" w:right="0" w:firstLine="0"/>
              <w:contextualSpacing w:val="0"/>
              <w:jc w:val="both"/>
              <w:rPr>
                <w:rFonts w:hint="eastAsia" w:ascii="楷体_GB2312" w:eastAsia="楷体_GB2312" w:cs="宋体"/>
                <w:snapToGrid/>
                <w:color w:val="auto"/>
                <w:spacing w:val="0"/>
                <w:w w:val="100"/>
                <w:kern w:val="2"/>
                <w:position w:val="0"/>
                <w:sz w:val="21"/>
                <w:szCs w:val="21"/>
                <w:u w:val="none" w:color="auto"/>
                <w:shd w:val="clear" w:color="auto" w:fill="auto"/>
                <w:vertAlign w:val="baseline"/>
                <w:lang w:val="en-US" w:eastAsia="zh-CN" w:bidi="ar-SA"/>
              </w:rPr>
            </w:pPr>
            <w:r>
              <w:rPr>
                <w:rFonts w:hint="eastAsia" w:ascii="楷体_GB2312" w:eastAsia="楷体_GB2312" w:cs="宋体"/>
                <w:lang w:val="en-US" w:eastAsia="zh-CN" w:bidi="ar-SA"/>
              </w:rPr>
              <w:t>Death within 9 months in patient with follicular dendritic cell sarcoma of spleen: A case report</w:t>
            </w:r>
          </w:p>
        </w:tc>
        <w:tc>
          <w:tcPr>
            <w:tcW w:w="84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81</w:t>
            </w:r>
          </w:p>
        </w:tc>
        <w:tc>
          <w:tcPr>
            <w:tcW w:w="1361" w:type="dxa"/>
            <w:tcBorders>
              <w:tl2br w:val="nil"/>
              <w:tr2bl w:val="nil"/>
            </w:tcBorders>
            <w:vAlign w:val="center"/>
          </w:tcPr>
          <w:p>
            <w:pPr>
              <w:jc w:val="center"/>
              <w:rPr>
                <w:rFonts w:ascii="楷体_GB2312" w:eastAsia="楷体_GB2312"/>
                <w:sz w:val="28"/>
                <w:szCs w:val="28"/>
              </w:rPr>
            </w:pPr>
            <w:r>
              <w:rPr>
                <w:rFonts w:ascii="楷体_GB2312" w:eastAsia="楷体_GB2312"/>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contextualSpacing w:val="0"/>
              <w:jc w:val="both"/>
              <w:rPr>
                <w:rFonts w:ascii="楷体_GB2312" w:eastAsia="楷体_GB2312" w:cs="宋体"/>
                <w:sz w:val="24"/>
                <w:szCs w:val="24"/>
                <w:lang w:val="en-US" w:eastAsia="zh-CN" w:bidi="ar-SA"/>
              </w:rPr>
            </w:pPr>
            <w:r>
              <w:rPr>
                <w:rFonts w:hint="eastAsia" w:ascii="楷体_GB2312" w:eastAsia="楷体_GB2312" w:cs="宋体"/>
                <w:sz w:val="24"/>
                <w:szCs w:val="24"/>
                <w:lang w:val="en-US" w:eastAsia="zh-CN" w:bidi="ar-SA"/>
              </w:rPr>
              <w:t>6</w:t>
            </w:r>
          </w:p>
        </w:tc>
        <w:tc>
          <w:tcPr>
            <w:tcW w:w="6113"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ind w:left="0" w:right="0" w:firstLine="0"/>
              <w:contextualSpacing w:val="0"/>
              <w:jc w:val="both"/>
              <w:rPr>
                <w:rFonts w:hint="eastAsia" w:ascii="楷体_GB2312" w:eastAsia="楷体_GB2312" w:cs="宋体"/>
                <w:snapToGrid/>
                <w:color w:val="auto"/>
                <w:spacing w:val="0"/>
                <w:w w:val="100"/>
                <w:kern w:val="2"/>
                <w:position w:val="0"/>
                <w:sz w:val="21"/>
                <w:szCs w:val="21"/>
                <w:u w:val="none" w:color="auto"/>
                <w:shd w:val="clear" w:color="auto" w:fill="auto"/>
                <w:vertAlign w:val="baseline"/>
                <w:lang w:val="en-US" w:eastAsia="zh-CN" w:bidi="ar-SA"/>
              </w:rPr>
            </w:pPr>
            <w:r>
              <w:rPr>
                <w:rFonts w:hint="eastAsia" w:ascii="楷体_GB2312" w:eastAsia="楷体_GB2312" w:cs="宋体"/>
                <w:lang w:val="en-US" w:eastAsia="zh-CN" w:bidi="ar-SA"/>
              </w:rPr>
              <w:t>Micro/Nanomotor-Driven Intelligent Targeted Delivery Systems: Dynamics Sources and Frontier Applications</w:t>
            </w:r>
          </w:p>
        </w:tc>
        <w:tc>
          <w:tcPr>
            <w:tcW w:w="84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80</w:t>
            </w:r>
          </w:p>
        </w:tc>
        <w:tc>
          <w:tcPr>
            <w:tcW w:w="1361" w:type="dxa"/>
            <w:tcBorders>
              <w:tl2br w:val="nil"/>
              <w:tr2bl w:val="nil"/>
            </w:tcBorders>
            <w:vAlign w:val="center"/>
          </w:tcPr>
          <w:p>
            <w:pPr>
              <w:jc w:val="center"/>
              <w:rPr>
                <w:rFonts w:ascii="楷体_GB2312" w:eastAsia="楷体_GB2312"/>
                <w:sz w:val="28"/>
                <w:szCs w:val="28"/>
              </w:rPr>
            </w:pPr>
            <w:r>
              <w:rPr>
                <w:rFonts w:ascii="楷体_GB2312" w:eastAsia="楷体_GB2312"/>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contextualSpacing w:val="0"/>
              <w:jc w:val="both"/>
              <w:rPr>
                <w:rFonts w:ascii="楷体_GB2312" w:eastAsia="楷体_GB2312" w:cs="宋体"/>
                <w:sz w:val="24"/>
                <w:szCs w:val="24"/>
                <w:lang w:val="en-US" w:eastAsia="zh-CN" w:bidi="ar-SA"/>
              </w:rPr>
            </w:pPr>
            <w:r>
              <w:rPr>
                <w:rFonts w:hint="eastAsia" w:ascii="楷体_GB2312" w:eastAsia="楷体_GB2312" w:cs="宋体"/>
                <w:sz w:val="24"/>
                <w:szCs w:val="24"/>
                <w:lang w:val="en-US" w:eastAsia="zh-CN" w:bidi="ar-SA"/>
              </w:rPr>
              <w:t>7</w:t>
            </w:r>
          </w:p>
        </w:tc>
        <w:tc>
          <w:tcPr>
            <w:tcW w:w="6113" w:type="dxa"/>
            <w:tcBorders>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val="en-US" w:eastAsia="zh-CN" w:bidi="ar-SA"/>
              </w:rPr>
              <w:t>药学监护在难治性支原体肺炎患儿双联抗感染治疗中的作用</w:t>
            </w:r>
          </w:p>
        </w:tc>
        <w:tc>
          <w:tcPr>
            <w:tcW w:w="84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79</w:t>
            </w:r>
          </w:p>
        </w:tc>
        <w:tc>
          <w:tcPr>
            <w:tcW w:w="1361" w:type="dxa"/>
            <w:tcBorders>
              <w:tl2br w:val="nil"/>
              <w:tr2bl w:val="nil"/>
            </w:tcBorders>
            <w:vAlign w:val="center"/>
          </w:tcPr>
          <w:p>
            <w:pPr>
              <w:jc w:val="center"/>
              <w:rPr>
                <w:rFonts w:ascii="楷体_GB2312" w:eastAsia="楷体_GB2312"/>
                <w:sz w:val="28"/>
                <w:szCs w:val="28"/>
              </w:rPr>
            </w:pPr>
            <w:r>
              <w:rPr>
                <w:rFonts w:ascii="楷体_GB2312" w:eastAsia="楷体_GB2312"/>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contextualSpacing w:val="0"/>
              <w:jc w:val="both"/>
              <w:rPr>
                <w:rFonts w:ascii="楷体_GB2312" w:eastAsia="楷体_GB2312" w:cs="宋体"/>
                <w:sz w:val="24"/>
                <w:szCs w:val="24"/>
                <w:lang w:val="en-US" w:eastAsia="zh-CN" w:bidi="ar-SA"/>
              </w:rPr>
            </w:pPr>
            <w:r>
              <w:rPr>
                <w:rFonts w:hint="eastAsia" w:ascii="楷体_GB2312" w:eastAsia="楷体_GB2312" w:cs="宋体"/>
                <w:sz w:val="24"/>
                <w:szCs w:val="24"/>
                <w:lang w:val="en-US" w:eastAsia="zh-CN" w:bidi="ar-SA"/>
              </w:rPr>
              <w:t>8</w:t>
            </w:r>
          </w:p>
        </w:tc>
        <w:tc>
          <w:tcPr>
            <w:tcW w:w="6113"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ind w:left="0" w:right="0" w:firstLine="0"/>
              <w:contextualSpacing w:val="0"/>
              <w:jc w:val="both"/>
              <w:rPr>
                <w:rFonts w:hint="eastAsia" w:ascii="楷体_GB2312" w:eastAsia="楷体_GB2312" w:cs="宋体"/>
                <w:snapToGrid/>
                <w:color w:val="auto"/>
                <w:spacing w:val="0"/>
                <w:w w:val="100"/>
                <w:kern w:val="2"/>
                <w:position w:val="0"/>
                <w:sz w:val="21"/>
                <w:szCs w:val="21"/>
                <w:u w:val="none" w:color="auto"/>
                <w:shd w:val="clear" w:color="auto" w:fill="auto"/>
                <w:vertAlign w:val="baseline"/>
                <w:lang w:val="en-US" w:eastAsia="zh-CN" w:bidi="ar-SA"/>
              </w:rPr>
            </w:pPr>
            <w:r>
              <w:rPr>
                <w:rFonts w:hint="eastAsia" w:ascii="楷体_GB2312" w:eastAsia="楷体_GB2312" w:cs="宋体"/>
                <w:lang w:val="en-US" w:eastAsia="zh-CN" w:bidi="ar-SA"/>
              </w:rPr>
              <w:t>Strategic chemical synthesis and application of nanocarriers responsive to the tumor microenvironment</w:t>
            </w:r>
          </w:p>
        </w:tc>
        <w:tc>
          <w:tcPr>
            <w:tcW w:w="84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78</w:t>
            </w:r>
          </w:p>
        </w:tc>
        <w:tc>
          <w:tcPr>
            <w:tcW w:w="1361" w:type="dxa"/>
            <w:tcBorders>
              <w:tl2br w:val="nil"/>
              <w:tr2bl w:val="nil"/>
            </w:tcBorders>
            <w:vAlign w:val="center"/>
          </w:tcPr>
          <w:p>
            <w:pPr>
              <w:jc w:val="center"/>
              <w:rPr>
                <w:rFonts w:hint="eastAsia" w:ascii="楷体_GB2312" w:eastAsia="楷体_GB2312"/>
                <w:sz w:val="28"/>
                <w:szCs w:val="28"/>
                <w:lang w:val="en-US" w:eastAsia="zh-CN"/>
              </w:rPr>
            </w:pPr>
            <w:r>
              <w:rPr>
                <w:rFonts w:ascii="楷体_GB2312" w:eastAsia="楷体_GB2312"/>
                <w:sz w:val="28"/>
                <w:szCs w:val="28"/>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5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contextualSpacing w:val="0"/>
              <w:jc w:val="both"/>
              <w:rPr>
                <w:rFonts w:ascii="楷体_GB2312" w:eastAsia="楷体_GB2312" w:cs="宋体"/>
                <w:sz w:val="24"/>
                <w:szCs w:val="24"/>
                <w:lang w:val="en-US" w:eastAsia="zh-CN" w:bidi="ar-SA"/>
              </w:rPr>
            </w:pPr>
            <w:r>
              <w:rPr>
                <w:rFonts w:hint="eastAsia" w:ascii="楷体_GB2312" w:eastAsia="楷体_GB2312" w:cs="宋体"/>
                <w:sz w:val="24"/>
                <w:szCs w:val="24"/>
                <w:lang w:val="en-US" w:eastAsia="zh-CN" w:bidi="ar-SA"/>
              </w:rPr>
              <w:t>9</w:t>
            </w:r>
          </w:p>
        </w:tc>
        <w:tc>
          <w:tcPr>
            <w:tcW w:w="6113"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ind w:left="0" w:right="0" w:firstLine="0"/>
              <w:contextualSpacing w:val="0"/>
              <w:jc w:val="both"/>
              <w:rPr>
                <w:rFonts w:hint="eastAsia" w:ascii="楷体_GB2312" w:eastAsia="楷体_GB2312" w:cs="宋体"/>
                <w:snapToGrid/>
                <w:color w:val="auto"/>
                <w:spacing w:val="0"/>
                <w:w w:val="100"/>
                <w:kern w:val="2"/>
                <w:position w:val="0"/>
                <w:sz w:val="21"/>
                <w:szCs w:val="21"/>
                <w:u w:val="none" w:color="auto"/>
                <w:shd w:val="clear" w:color="auto" w:fill="auto"/>
                <w:vertAlign w:val="baseline"/>
                <w:lang w:val="en-US" w:eastAsia="zh-CN" w:bidi="ar-SA"/>
              </w:rPr>
            </w:pPr>
            <w:r>
              <w:rPr>
                <w:rFonts w:hint="eastAsia" w:ascii="楷体_GB2312" w:eastAsia="楷体_GB2312" w:cs="宋体"/>
                <w:lang w:val="en-US" w:eastAsia="zh-CN" w:bidi="ar-SA"/>
              </w:rPr>
              <w:t>Advances in biomimetic nanomaterial delivery systems: harnessing nature’s inspiration for targeted drug delivery</w:t>
            </w:r>
          </w:p>
        </w:tc>
        <w:tc>
          <w:tcPr>
            <w:tcW w:w="84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76.7</w:t>
            </w:r>
          </w:p>
        </w:tc>
        <w:tc>
          <w:tcPr>
            <w:tcW w:w="1361" w:type="dxa"/>
            <w:tcBorders>
              <w:tl2br w:val="nil"/>
              <w:tr2bl w:val="nil"/>
            </w:tcBorders>
            <w:vAlign w:val="center"/>
          </w:tcPr>
          <w:p>
            <w:pPr>
              <w:jc w:val="center"/>
              <w:rPr>
                <w:rFonts w:ascii="楷体_GB2312" w:eastAsia="楷体_GB2312"/>
                <w:sz w:val="28"/>
                <w:szCs w:val="28"/>
              </w:rPr>
            </w:pPr>
            <w:r>
              <w:rPr>
                <w:rFonts w:ascii="楷体_GB2312" w:eastAsia="楷体_GB2312"/>
                <w:sz w:val="28"/>
                <w:szCs w:val="28"/>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contextualSpacing w:val="0"/>
              <w:jc w:val="both"/>
              <w:rPr>
                <w:rFonts w:ascii="楷体_GB2312" w:eastAsia="楷体_GB2312" w:cs="宋体"/>
                <w:sz w:val="24"/>
                <w:szCs w:val="24"/>
                <w:lang w:val="en-US" w:eastAsia="zh-CN" w:bidi="ar-SA"/>
              </w:rPr>
            </w:pPr>
            <w:r>
              <w:rPr>
                <w:rFonts w:hint="eastAsia" w:ascii="楷体_GB2312" w:eastAsia="楷体_GB2312" w:cs="宋体"/>
                <w:sz w:val="24"/>
                <w:szCs w:val="24"/>
                <w:lang w:val="en-US" w:eastAsia="zh-CN" w:bidi="ar-SA"/>
              </w:rPr>
              <w:t>10</w:t>
            </w:r>
          </w:p>
        </w:tc>
        <w:tc>
          <w:tcPr>
            <w:tcW w:w="6113"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ind w:left="0" w:right="0" w:firstLine="0"/>
              <w:contextualSpacing w:val="0"/>
              <w:jc w:val="both"/>
              <w:rPr>
                <w:rFonts w:hint="eastAsia" w:ascii="楷体_GB2312" w:eastAsia="楷体_GB2312" w:cs="宋体"/>
                <w:snapToGrid/>
                <w:color w:val="auto"/>
                <w:spacing w:val="0"/>
                <w:w w:val="100"/>
                <w:kern w:val="2"/>
                <w:position w:val="0"/>
                <w:sz w:val="21"/>
                <w:szCs w:val="21"/>
                <w:u w:val="none" w:color="auto"/>
                <w:shd w:val="clear" w:color="auto" w:fill="auto"/>
                <w:vertAlign w:val="baseline"/>
                <w:lang w:val="en-US" w:eastAsia="zh-CN" w:bidi="ar-SA"/>
              </w:rPr>
            </w:pPr>
            <w:r>
              <w:rPr>
                <w:rFonts w:hint="eastAsia" w:ascii="楷体_GB2312" w:eastAsia="楷体_GB2312" w:cs="宋体"/>
                <w:lang w:val="en-US" w:eastAsia="zh-CN" w:bidi="ar-SA"/>
              </w:rPr>
              <w:t>ROS induced Pyroptosis in Inflammatory Disease and Cancer</w:t>
            </w:r>
          </w:p>
        </w:tc>
        <w:tc>
          <w:tcPr>
            <w:tcW w:w="84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76.3</w:t>
            </w:r>
          </w:p>
        </w:tc>
        <w:tc>
          <w:tcPr>
            <w:tcW w:w="1361" w:type="dxa"/>
            <w:tcBorders>
              <w:tl2br w:val="nil"/>
              <w:tr2bl w:val="nil"/>
            </w:tcBorders>
            <w:vAlign w:val="center"/>
          </w:tcPr>
          <w:p>
            <w:pPr>
              <w:jc w:val="center"/>
              <w:rPr>
                <w:rFonts w:ascii="楷体_GB2312" w:eastAsia="楷体_GB2312"/>
                <w:sz w:val="28"/>
                <w:szCs w:val="28"/>
              </w:rPr>
            </w:pPr>
            <w:r>
              <w:rPr>
                <w:rFonts w:ascii="楷体_GB2312" w:eastAsia="楷体_GB2312"/>
                <w:sz w:val="28"/>
                <w:szCs w:val="28"/>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contextualSpacing w:val="0"/>
              <w:jc w:val="both"/>
              <w:rPr>
                <w:rFonts w:ascii="楷体_GB2312" w:eastAsia="楷体_GB2312" w:cs="宋体"/>
                <w:sz w:val="24"/>
                <w:szCs w:val="24"/>
                <w:lang w:val="en-US" w:eastAsia="zh-CN" w:bidi="ar-SA"/>
              </w:rPr>
            </w:pPr>
            <w:r>
              <w:rPr>
                <w:rFonts w:hint="eastAsia" w:ascii="楷体_GB2312" w:eastAsia="楷体_GB2312" w:cs="宋体"/>
                <w:sz w:val="24"/>
                <w:szCs w:val="24"/>
                <w:lang w:val="en-US" w:eastAsia="zh-CN" w:bidi="ar-SA"/>
              </w:rPr>
              <w:t>11</w:t>
            </w:r>
          </w:p>
        </w:tc>
        <w:tc>
          <w:tcPr>
            <w:tcW w:w="6113" w:type="dxa"/>
            <w:tcBorders>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val="en-US" w:eastAsia="zh-CN" w:bidi="ar-SA"/>
              </w:rPr>
              <w:t>蝉蜕饮片及药材的总灰分和酸不溶性灰分测定</w:t>
            </w:r>
          </w:p>
        </w:tc>
        <w:tc>
          <w:tcPr>
            <w:tcW w:w="84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76.2</w:t>
            </w:r>
          </w:p>
        </w:tc>
        <w:tc>
          <w:tcPr>
            <w:tcW w:w="1361" w:type="dxa"/>
            <w:tcBorders>
              <w:tl2br w:val="nil"/>
              <w:tr2bl w:val="nil"/>
            </w:tcBorders>
            <w:vAlign w:val="center"/>
          </w:tcPr>
          <w:p>
            <w:pPr>
              <w:jc w:val="center"/>
              <w:rPr>
                <w:rFonts w:ascii="楷体_GB2312" w:eastAsia="楷体_GB2312"/>
                <w:sz w:val="28"/>
                <w:szCs w:val="28"/>
              </w:rPr>
            </w:pPr>
            <w:r>
              <w:rPr>
                <w:rFonts w:ascii="楷体_GB2312" w:eastAsia="楷体_GB2312"/>
                <w:sz w:val="28"/>
                <w:szCs w:val="28"/>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5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contextualSpacing w:val="0"/>
              <w:jc w:val="both"/>
              <w:rPr>
                <w:rFonts w:ascii="楷体_GB2312" w:eastAsia="楷体_GB2312" w:cs="宋体"/>
                <w:sz w:val="24"/>
                <w:szCs w:val="24"/>
                <w:lang w:val="en-US" w:eastAsia="zh-CN" w:bidi="ar-SA"/>
              </w:rPr>
            </w:pPr>
            <w:r>
              <w:rPr>
                <w:rFonts w:hint="eastAsia" w:ascii="楷体_GB2312" w:eastAsia="楷体_GB2312" w:cs="宋体"/>
                <w:sz w:val="24"/>
                <w:szCs w:val="24"/>
                <w:lang w:val="en-US" w:eastAsia="zh-CN" w:bidi="ar-SA"/>
              </w:rPr>
              <w:t>12</w:t>
            </w:r>
          </w:p>
        </w:tc>
        <w:tc>
          <w:tcPr>
            <w:tcW w:w="6113" w:type="dxa"/>
            <w:tcBorders>
              <w:tl2br w:val="nil"/>
              <w:tr2bl w:val="nil"/>
            </w:tcBorders>
          </w:tcPr>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ind w:left="0" w:right="0" w:firstLine="0"/>
              <w:contextualSpacing w:val="0"/>
              <w:jc w:val="both"/>
              <w:rPr>
                <w:rFonts w:hint="eastAsia" w:ascii="楷体_GB2312" w:eastAsia="楷体_GB2312" w:cs="宋体"/>
                <w:b w:val="0"/>
                <w:i w:val="0"/>
                <w:caps w:val="0"/>
                <w:smallCaps w:val="0"/>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b w:val="0"/>
                <w:i w:val="0"/>
                <w:caps w:val="0"/>
                <w:smallCaps w:val="0"/>
                <w:vanish w:val="0"/>
                <w:sz w:val="24"/>
                <w:szCs w:val="24"/>
                <w:lang w:val="en-US" w:eastAsia="zh-CN" w:bidi="ar-SA"/>
              </w:rPr>
              <w:t>The safety of digestive tract cancer surgery during COVID-19: A living systematic review and meta-analysis</w:t>
            </w:r>
          </w:p>
        </w:tc>
        <w:tc>
          <w:tcPr>
            <w:tcW w:w="84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hint="eastAsia"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73.3</w:t>
            </w:r>
          </w:p>
        </w:tc>
        <w:tc>
          <w:tcPr>
            <w:tcW w:w="1361" w:type="dxa"/>
            <w:tcBorders>
              <w:tl2br w:val="nil"/>
              <w:tr2bl w:val="nil"/>
            </w:tcBorders>
            <w:vAlign w:val="center"/>
          </w:tcPr>
          <w:p>
            <w:pPr>
              <w:jc w:val="center"/>
              <w:rPr>
                <w:rFonts w:ascii="楷体_GB2312" w:eastAsia="楷体_GB2312"/>
                <w:sz w:val="28"/>
                <w:szCs w:val="28"/>
              </w:rPr>
            </w:pPr>
            <w:r>
              <w:rPr>
                <w:rFonts w:ascii="楷体_GB2312" w:eastAsia="楷体_GB2312"/>
                <w:sz w:val="28"/>
                <w:szCs w:val="28"/>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contextualSpacing w:val="0"/>
              <w:jc w:val="both"/>
              <w:rPr>
                <w:rFonts w:ascii="楷体_GB2312" w:eastAsia="楷体_GB2312" w:cs="宋体"/>
                <w:sz w:val="24"/>
                <w:szCs w:val="24"/>
                <w:lang w:val="en-US" w:eastAsia="zh-CN" w:bidi="ar-SA"/>
              </w:rPr>
            </w:pPr>
            <w:r>
              <w:rPr>
                <w:rFonts w:hint="eastAsia" w:ascii="楷体_GB2312" w:eastAsia="楷体_GB2312" w:cs="宋体"/>
                <w:sz w:val="24"/>
                <w:szCs w:val="24"/>
                <w:lang w:val="en-US" w:eastAsia="zh-CN" w:bidi="ar-SA"/>
              </w:rPr>
              <w:t>13</w:t>
            </w:r>
          </w:p>
        </w:tc>
        <w:tc>
          <w:tcPr>
            <w:tcW w:w="6113"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val="en-US" w:eastAsia="zh-CN" w:bidi="ar-SA"/>
              </w:rPr>
              <w:t>中药调节肠道菌群缓解药物性肝损伤的研究进展</w:t>
            </w:r>
          </w:p>
        </w:tc>
        <w:tc>
          <w:tcPr>
            <w:tcW w:w="84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72.7</w:t>
            </w:r>
          </w:p>
        </w:tc>
        <w:tc>
          <w:tcPr>
            <w:tcW w:w="1361" w:type="dxa"/>
            <w:tcBorders>
              <w:tl2br w:val="nil"/>
              <w:tr2bl w:val="nil"/>
            </w:tcBorders>
            <w:vAlign w:val="center"/>
          </w:tcPr>
          <w:p>
            <w:pPr>
              <w:jc w:val="center"/>
              <w:rPr>
                <w:rFonts w:ascii="楷体_GB2312" w:eastAsia="楷体_GB2312"/>
                <w:sz w:val="28"/>
                <w:szCs w:val="28"/>
              </w:rPr>
            </w:pPr>
            <w:r>
              <w:rPr>
                <w:rFonts w:ascii="楷体_GB2312" w:eastAsia="楷体_GB2312"/>
                <w:sz w:val="28"/>
                <w:szCs w:val="28"/>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5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contextualSpacing w:val="0"/>
              <w:jc w:val="both"/>
              <w:rPr>
                <w:rFonts w:ascii="楷体_GB2312" w:eastAsia="楷体_GB2312" w:cs="宋体"/>
                <w:sz w:val="24"/>
                <w:szCs w:val="24"/>
                <w:lang w:val="en-US" w:eastAsia="zh-CN" w:bidi="ar-SA"/>
              </w:rPr>
            </w:pPr>
            <w:r>
              <w:rPr>
                <w:rFonts w:hint="eastAsia" w:ascii="楷体_GB2312" w:eastAsia="楷体_GB2312" w:cs="宋体"/>
                <w:sz w:val="24"/>
                <w:szCs w:val="24"/>
                <w:lang w:val="en-US" w:eastAsia="zh-CN" w:bidi="ar-SA"/>
              </w:rPr>
              <w:t>14</w:t>
            </w:r>
          </w:p>
        </w:tc>
        <w:tc>
          <w:tcPr>
            <w:tcW w:w="6113" w:type="dxa"/>
            <w:tcBorders>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val="en-US" w:eastAsia="zh-CN" w:bidi="ar-SA"/>
              </w:rPr>
              <w:t>白及药材的HPLC指纹图谱研究</w:t>
            </w:r>
          </w:p>
        </w:tc>
        <w:tc>
          <w:tcPr>
            <w:tcW w:w="84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400" w:lineRule="exact"/>
              <w:ind w:left="0" w:right="0" w:firstLine="0"/>
              <w:contextualSpacing w:val="0"/>
              <w:jc w:val="both"/>
              <w:rPr>
                <w:rFonts w:ascii="楷体_GB2312" w:eastAsia="楷体_GB2312" w:cs="Times New Roman"/>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sz w:val="24"/>
                <w:szCs w:val="24"/>
                <w:lang w:val="en-US" w:eastAsia="zh-CN"/>
              </w:rPr>
              <w:t>72.5</w:t>
            </w:r>
          </w:p>
        </w:tc>
        <w:tc>
          <w:tcPr>
            <w:tcW w:w="1361" w:type="dxa"/>
            <w:tcBorders>
              <w:tl2br w:val="nil"/>
              <w:tr2bl w:val="nil"/>
            </w:tcBorders>
            <w:vAlign w:val="center"/>
          </w:tcPr>
          <w:p>
            <w:pPr>
              <w:jc w:val="center"/>
              <w:rPr>
                <w:rFonts w:ascii="楷体_GB2312" w:eastAsia="楷体_GB2312"/>
                <w:sz w:val="28"/>
                <w:szCs w:val="28"/>
              </w:rPr>
            </w:pPr>
            <w:r>
              <w:rPr>
                <w:rFonts w:ascii="楷体_GB2312" w:eastAsia="楷体_GB2312"/>
                <w:sz w:val="28"/>
                <w:szCs w:val="28"/>
                <w:lang w:val="en-US" w:eastAsia="zh-CN"/>
              </w:rPr>
              <w:t>三等奖</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spacing w:line="576" w:lineRule="exact"/>
        <w:jc w:val="both"/>
        <w:rPr>
          <w:rFonts w:ascii="方正黑体_GBK" w:eastAsia="方正黑体_GBK" w:cs="方正黑体_GBK"/>
          <w:vanish w:val="0"/>
          <w:color w:val="auto"/>
          <w:kern w:val="0"/>
          <w:sz w:val="36"/>
          <w:szCs w:val="36"/>
          <w:lang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spacing w:line="576" w:lineRule="exact"/>
        <w:jc w:val="both"/>
        <w:rPr>
          <w:rFonts w:hint="eastAsia" w:ascii="方正黑体_GBK" w:eastAsia="方正黑体_GBK" w:cs="方正黑体_GBK"/>
          <w:kern w:val="0"/>
          <w:sz w:val="36"/>
          <w:szCs w:val="36"/>
        </w:rPr>
      </w:pPr>
      <w:r>
        <w:rPr>
          <w:rFonts w:hint="eastAsia" w:ascii="方正黑体_GBK" w:eastAsia="方正黑体_GBK" w:cs="方正黑体_GBK"/>
          <w:vanish w:val="0"/>
          <w:color w:val="auto"/>
          <w:kern w:val="0"/>
          <w:sz w:val="36"/>
          <w:szCs w:val="36"/>
          <w:lang w:eastAsia="zh-CN"/>
        </w:rPr>
        <w:t>四、综合类</w:t>
      </w:r>
    </w:p>
    <w:tbl>
      <w:tblPr>
        <w:tblStyle w:val="6"/>
        <w:tblW w:w="9214" w:type="dxa"/>
        <w:tblInd w:w="-36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3"/>
        <w:gridCol w:w="6182"/>
        <w:gridCol w:w="870"/>
        <w:gridCol w:w="13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1" w:hRule="atLeast"/>
        </w:trPr>
        <w:tc>
          <w:tcPr>
            <w:tcW w:w="8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00" w:lineRule="exact"/>
              <w:ind w:left="0"/>
              <w:contextualSpacing w:val="0"/>
              <w:jc w:val="center"/>
              <w:rPr>
                <w:rFonts w:hint="eastAsia" w:ascii="黑体" w:eastAsia="黑体"/>
                <w:sz w:val="28"/>
                <w:szCs w:val="28"/>
              </w:rPr>
            </w:pPr>
            <w:r>
              <w:rPr>
                <w:rFonts w:hint="eastAsia" w:ascii="黑体" w:eastAsia="黑体"/>
                <w:sz w:val="28"/>
                <w:szCs w:val="28"/>
              </w:rPr>
              <w:t>序号</w:t>
            </w:r>
          </w:p>
        </w:tc>
        <w:tc>
          <w:tcPr>
            <w:tcW w:w="618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00" w:lineRule="exact"/>
              <w:ind w:left="0"/>
              <w:contextualSpacing w:val="0"/>
              <w:jc w:val="center"/>
              <w:rPr>
                <w:rFonts w:hint="eastAsia" w:ascii="黑体" w:eastAsia="黑体"/>
                <w:sz w:val="28"/>
                <w:szCs w:val="28"/>
              </w:rPr>
            </w:pPr>
            <w:r>
              <w:rPr>
                <w:rFonts w:hint="eastAsia" w:ascii="黑体" w:eastAsia="黑体"/>
                <w:sz w:val="28"/>
                <w:szCs w:val="28"/>
              </w:rPr>
              <w:t>论文题目</w:t>
            </w:r>
          </w:p>
        </w:tc>
        <w:tc>
          <w:tcPr>
            <w:tcW w:w="87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00" w:lineRule="exact"/>
              <w:ind w:left="0"/>
              <w:contextualSpacing w:val="0"/>
              <w:jc w:val="center"/>
              <w:rPr>
                <w:rFonts w:hint="eastAsia" w:ascii="黑体" w:eastAsia="黑体"/>
                <w:sz w:val="28"/>
                <w:szCs w:val="28"/>
                <w:lang w:val="en-US" w:eastAsia="zh-CN"/>
              </w:rPr>
            </w:pPr>
            <w:r>
              <w:rPr>
                <w:rFonts w:hint="eastAsia" w:ascii="黑体" w:eastAsia="黑体"/>
                <w:sz w:val="28"/>
                <w:szCs w:val="28"/>
                <w:lang w:val="en-US" w:eastAsia="zh-CN"/>
              </w:rPr>
              <w:t>得分</w:t>
            </w:r>
          </w:p>
        </w:tc>
        <w:tc>
          <w:tcPr>
            <w:tcW w:w="135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00" w:lineRule="exact"/>
              <w:ind w:left="0"/>
              <w:contextualSpacing w:val="0"/>
              <w:jc w:val="center"/>
              <w:rPr>
                <w:rFonts w:hint="eastAsia" w:ascii="黑体" w:eastAsia="黑体"/>
                <w:sz w:val="28"/>
                <w:szCs w:val="28"/>
                <w:lang w:val="en-US" w:eastAsia="zh-CN"/>
              </w:rPr>
            </w:pPr>
            <w:r>
              <w:rPr>
                <w:rFonts w:hint="eastAsia" w:ascii="黑体" w:eastAsia="黑体"/>
                <w:sz w:val="28"/>
                <w:szCs w:val="28"/>
                <w:lang w:val="en-US" w:eastAsia="zh-CN"/>
              </w:rPr>
              <w:t>获奖等次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1" w:hRule="atLeast"/>
        </w:trPr>
        <w:tc>
          <w:tcPr>
            <w:tcW w:w="8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contextualSpacing w:val="0"/>
              <w:jc w:val="both"/>
              <w:rPr>
                <w:rFonts w:hint="eastAsia" w:ascii="楷体_GB2312" w:eastAsia="楷体_GB2312" w:cs="宋体"/>
                <w:sz w:val="24"/>
                <w:szCs w:val="24"/>
                <w:lang w:val="en-US" w:eastAsia="zh-CN" w:bidi="ar-SA"/>
              </w:rPr>
            </w:pPr>
            <w:r>
              <w:rPr>
                <w:rFonts w:hint="eastAsia" w:ascii="楷体_GB2312" w:eastAsia="楷体_GB2312" w:cs="宋体"/>
                <w:sz w:val="24"/>
                <w:szCs w:val="24"/>
                <w:lang w:val="en-US" w:eastAsia="zh-CN" w:bidi="ar-SA"/>
              </w:rPr>
              <w:t>1</w:t>
            </w:r>
          </w:p>
        </w:tc>
        <w:tc>
          <w:tcPr>
            <w:tcW w:w="618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bidi="ar-SA"/>
              </w:rPr>
              <w:t>川陕革命老区非物质文化遗产空间格局及其影响因素研究</w:t>
            </w:r>
          </w:p>
        </w:tc>
        <w:tc>
          <w:tcPr>
            <w:tcW w:w="870" w:type="dxa"/>
            <w:tcBorders>
              <w:top w:val="single" w:color="auto" w:sz="4" w:space="0"/>
              <w:left w:val="nil"/>
              <w:bottom w:val="single" w:color="auto" w:sz="4" w:space="0"/>
              <w:right w:val="single" w:color="auto" w:sz="4" w:space="0"/>
              <w:tl2br w:val="nil"/>
              <w:tr2bl w:val="nil"/>
            </w:tcBorders>
            <w:vAlign w:val="center"/>
          </w:tcPr>
          <w:p>
            <w:pPr>
              <w:spacing w:line="576" w:lineRule="exact"/>
              <w:ind w:left="0" w:firstLine="0"/>
              <w:rPr>
                <w:rFonts w:hint="eastAsia" w:ascii="楷体_GB2312" w:eastAsia="楷体_GB2312" w:cs="宋体"/>
                <w:sz w:val="24"/>
                <w:szCs w:val="24"/>
                <w:lang w:bidi="ar-SA"/>
              </w:rPr>
            </w:pPr>
            <w:r>
              <w:rPr>
                <w:rFonts w:hint="eastAsia" w:ascii="楷体_GB2312" w:eastAsia="楷体_GB2312" w:cs="宋体"/>
                <w:sz w:val="24"/>
                <w:szCs w:val="24"/>
                <w:lang w:bidi="ar-SA"/>
              </w:rPr>
              <w:t>97</w:t>
            </w:r>
          </w:p>
        </w:tc>
        <w:tc>
          <w:tcPr>
            <w:tcW w:w="1350"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楷体_GB2312" w:eastAsia="楷体_GB2312"/>
                <w:sz w:val="28"/>
                <w:szCs w:val="28"/>
              </w:rPr>
            </w:pPr>
            <w:r>
              <w:rPr>
                <w:rFonts w:ascii="楷体_GB2312" w:eastAsia="楷体_GB2312"/>
                <w:sz w:val="28"/>
                <w:szCs w:val="28"/>
              </w:rPr>
              <w:t>一等奖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1" w:hRule="atLeast"/>
        </w:trPr>
        <w:tc>
          <w:tcPr>
            <w:tcW w:w="8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contextualSpacing w:val="0"/>
              <w:jc w:val="both"/>
              <w:rPr>
                <w:rFonts w:hint="eastAsia" w:ascii="楷体_GB2312" w:eastAsia="楷体_GB2312" w:cs="宋体"/>
                <w:sz w:val="24"/>
                <w:szCs w:val="24"/>
                <w:lang w:val="en-US" w:eastAsia="zh-CN" w:bidi="ar-SA"/>
              </w:rPr>
            </w:pPr>
            <w:r>
              <w:rPr>
                <w:rFonts w:hint="eastAsia" w:ascii="楷体_GB2312" w:eastAsia="楷体_GB2312" w:cs="宋体"/>
                <w:sz w:val="24"/>
                <w:szCs w:val="24"/>
                <w:lang w:val="en-US" w:eastAsia="zh-CN" w:bidi="ar-SA"/>
              </w:rPr>
              <w:t>2</w:t>
            </w:r>
          </w:p>
        </w:tc>
        <w:tc>
          <w:tcPr>
            <w:tcW w:w="6182"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bidi="ar-SA"/>
              </w:rPr>
              <w:t>2018</w:t>
            </w:r>
            <w:r>
              <w:rPr>
                <w:rFonts w:ascii="Times New Roman" w:hAnsi="Times New Roman" w:eastAsia="宋体" w:cs="宋体"/>
                <w:sz w:val="24"/>
                <w:szCs w:val="24"/>
                <w:lang w:bidi="ar-SA"/>
              </w:rPr>
              <w:t>–</w:t>
            </w:r>
            <w:r>
              <w:rPr>
                <w:rFonts w:hint="eastAsia" w:ascii="楷体_GB2312" w:eastAsia="楷体_GB2312" w:cs="宋体"/>
                <w:sz w:val="24"/>
                <w:szCs w:val="24"/>
                <w:lang w:bidi="ar-SA"/>
              </w:rPr>
              <w:t>2021年广元市饮用水源地总放射性水平及健康风险评价</w:t>
            </w:r>
          </w:p>
        </w:tc>
        <w:tc>
          <w:tcPr>
            <w:tcW w:w="870" w:type="dxa"/>
            <w:tcBorders>
              <w:top w:val="single" w:color="auto" w:sz="4" w:space="0"/>
              <w:left w:val="nil"/>
              <w:bottom w:val="single" w:color="auto" w:sz="4" w:space="0"/>
              <w:right w:val="single" w:color="auto" w:sz="4" w:space="0"/>
              <w:tl2br w:val="nil"/>
              <w:tr2bl w:val="nil"/>
            </w:tcBorders>
            <w:vAlign w:val="center"/>
          </w:tcPr>
          <w:p>
            <w:pPr>
              <w:spacing w:line="576" w:lineRule="exact"/>
              <w:ind w:left="0" w:firstLine="0"/>
              <w:rPr>
                <w:rFonts w:hint="eastAsia" w:ascii="楷体_GB2312" w:eastAsia="楷体_GB2312" w:cs="宋体"/>
                <w:sz w:val="24"/>
                <w:szCs w:val="24"/>
                <w:lang w:bidi="ar-SA"/>
              </w:rPr>
            </w:pPr>
            <w:r>
              <w:rPr>
                <w:rFonts w:hint="eastAsia" w:ascii="楷体_GB2312" w:eastAsia="楷体_GB2312" w:cs="宋体"/>
                <w:sz w:val="24"/>
                <w:szCs w:val="24"/>
                <w:lang w:bidi="ar-SA"/>
              </w:rPr>
              <w:t>96</w:t>
            </w:r>
          </w:p>
        </w:tc>
        <w:tc>
          <w:tcPr>
            <w:tcW w:w="1350"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楷体_GB2312" w:eastAsia="楷体_GB2312"/>
                <w:bCs/>
                <w:sz w:val="28"/>
                <w:szCs w:val="28"/>
                <w:lang w:bidi="ar-SA"/>
              </w:rPr>
            </w:pPr>
            <w:r>
              <w:rPr>
                <w:rFonts w:ascii="楷体_GB2312" w:eastAsia="楷体_GB2312"/>
                <w:bCs/>
                <w:sz w:val="28"/>
                <w:szCs w:val="28"/>
              </w:rPr>
              <w:t>一等奖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9" w:hRule="atLeast"/>
        </w:trPr>
        <w:tc>
          <w:tcPr>
            <w:tcW w:w="81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contextualSpacing w:val="0"/>
              <w:jc w:val="both"/>
              <w:rPr>
                <w:rFonts w:hint="eastAsia" w:ascii="楷体_GB2312" w:eastAsia="楷体_GB2312" w:cs="宋体"/>
                <w:sz w:val="24"/>
                <w:szCs w:val="24"/>
                <w:lang w:val="en-US" w:eastAsia="zh-CN" w:bidi="ar-SA"/>
              </w:rPr>
            </w:pPr>
            <w:r>
              <w:rPr>
                <w:rFonts w:hint="eastAsia" w:ascii="楷体_GB2312" w:eastAsia="楷体_GB2312" w:cs="宋体"/>
                <w:sz w:val="24"/>
                <w:szCs w:val="24"/>
                <w:lang w:val="en-US" w:eastAsia="zh-CN" w:bidi="ar-SA"/>
              </w:rPr>
              <w:t>3</w:t>
            </w:r>
          </w:p>
        </w:tc>
        <w:tc>
          <w:tcPr>
            <w:tcW w:w="618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contextualSpacing w:val="0"/>
              <w:jc w:val="both"/>
              <w:rPr>
                <w:rFonts w:hint="eastAsia" w:ascii="楷体_GB2312" w:eastAsia="楷体_GB2312" w:cs="宋体"/>
                <w:sz w:val="24"/>
                <w:szCs w:val="24"/>
                <w:lang w:bidi="ar-SA"/>
              </w:rPr>
            </w:pPr>
            <w:r>
              <w:rPr>
                <w:rFonts w:hint="eastAsia" w:ascii="楷体_GB2312" w:eastAsia="楷体_GB2312" w:cs="宋体"/>
                <w:sz w:val="24"/>
                <w:szCs w:val="24"/>
                <w:lang w:bidi="ar-SA"/>
              </w:rPr>
              <w:t>剑门蜀道古柏雷电防护对策研究</w:t>
            </w:r>
          </w:p>
        </w:tc>
        <w:tc>
          <w:tcPr>
            <w:tcW w:w="870" w:type="dxa"/>
            <w:tcBorders>
              <w:top w:val="single" w:color="auto" w:sz="4" w:space="0"/>
              <w:left w:val="nil"/>
              <w:bottom w:val="single" w:color="auto" w:sz="4" w:space="0"/>
              <w:right w:val="single" w:color="auto" w:sz="4" w:space="0"/>
              <w:tl2br w:val="nil"/>
              <w:tr2bl w:val="nil"/>
            </w:tcBorders>
            <w:vAlign w:val="center"/>
          </w:tcPr>
          <w:p>
            <w:pPr>
              <w:spacing w:line="576" w:lineRule="exact"/>
              <w:ind w:left="0" w:firstLine="0"/>
              <w:rPr>
                <w:rFonts w:hint="eastAsia" w:ascii="楷体_GB2312" w:eastAsia="楷体_GB2312" w:cs="宋体"/>
                <w:sz w:val="24"/>
                <w:szCs w:val="24"/>
                <w:lang w:bidi="ar-SA"/>
              </w:rPr>
            </w:pPr>
            <w:r>
              <w:rPr>
                <w:rFonts w:hint="eastAsia" w:ascii="楷体_GB2312" w:eastAsia="楷体_GB2312" w:cs="宋体"/>
                <w:sz w:val="24"/>
                <w:szCs w:val="24"/>
                <w:lang w:bidi="ar-SA"/>
              </w:rPr>
              <w:t>95.67</w:t>
            </w:r>
          </w:p>
        </w:tc>
        <w:tc>
          <w:tcPr>
            <w:tcW w:w="1350" w:type="dxa"/>
            <w:tcBorders>
              <w:top w:val="single" w:color="auto" w:sz="4" w:space="0"/>
              <w:left w:val="nil"/>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二等奖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9" w:hRule="atLeast"/>
        </w:trPr>
        <w:tc>
          <w:tcPr>
            <w:tcW w:w="81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val="en-US" w:eastAsia="zh-CN" w:bidi="ar-SA"/>
              </w:rPr>
              <w:t>4</w:t>
            </w:r>
          </w:p>
        </w:tc>
        <w:tc>
          <w:tcPr>
            <w:tcW w:w="618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bidi="ar-SA"/>
              </w:rPr>
              <w:t>苍溪县红心猕猴桃农用气象适宜度预评价模型的构建</w:t>
            </w:r>
          </w:p>
        </w:tc>
        <w:tc>
          <w:tcPr>
            <w:tcW w:w="870" w:type="dxa"/>
            <w:tcBorders>
              <w:top w:val="single" w:color="auto" w:sz="4" w:space="0"/>
              <w:left w:val="nil"/>
              <w:bottom w:val="single" w:color="auto" w:sz="4" w:space="0"/>
              <w:right w:val="single" w:color="auto" w:sz="4" w:space="0"/>
              <w:tl2br w:val="nil"/>
              <w:tr2bl w:val="nil"/>
            </w:tcBorders>
            <w:vAlign w:val="center"/>
          </w:tcPr>
          <w:p>
            <w:pPr>
              <w:spacing w:line="576" w:lineRule="exact"/>
              <w:ind w:left="0" w:firstLine="0"/>
              <w:rPr>
                <w:rFonts w:hint="eastAsia" w:ascii="楷体_GB2312" w:eastAsia="楷体_GB2312" w:cs="宋体"/>
                <w:sz w:val="24"/>
                <w:szCs w:val="24"/>
                <w:lang w:bidi="ar-SA"/>
              </w:rPr>
            </w:pPr>
            <w:r>
              <w:rPr>
                <w:rFonts w:hint="eastAsia" w:ascii="楷体_GB2312" w:eastAsia="楷体_GB2312" w:cs="宋体"/>
                <w:sz w:val="24"/>
                <w:szCs w:val="24"/>
                <w:lang w:bidi="ar-SA"/>
              </w:rPr>
              <w:t>92.33</w:t>
            </w:r>
          </w:p>
        </w:tc>
        <w:tc>
          <w:tcPr>
            <w:tcW w:w="1350" w:type="dxa"/>
            <w:tcBorders>
              <w:top w:val="single" w:color="auto" w:sz="4" w:space="0"/>
              <w:left w:val="nil"/>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二等奖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9" w:hRule="atLeast"/>
        </w:trPr>
        <w:tc>
          <w:tcPr>
            <w:tcW w:w="8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val="en-US" w:eastAsia="zh-CN" w:bidi="ar-SA"/>
              </w:rPr>
              <w:t>5</w:t>
            </w:r>
          </w:p>
        </w:tc>
        <w:tc>
          <w:tcPr>
            <w:tcW w:w="618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bidi="ar-SA"/>
              </w:rPr>
              <w:t>青川种植白叶1号的气候适应性分析</w:t>
            </w:r>
          </w:p>
        </w:tc>
        <w:tc>
          <w:tcPr>
            <w:tcW w:w="870" w:type="dxa"/>
            <w:tcBorders>
              <w:top w:val="single" w:color="auto" w:sz="4" w:space="0"/>
              <w:left w:val="nil"/>
              <w:bottom w:val="single" w:color="auto" w:sz="4" w:space="0"/>
              <w:right w:val="single" w:color="auto" w:sz="4" w:space="0"/>
              <w:tl2br w:val="nil"/>
              <w:tr2bl w:val="nil"/>
            </w:tcBorders>
            <w:vAlign w:val="center"/>
          </w:tcPr>
          <w:p>
            <w:pPr>
              <w:spacing w:line="576" w:lineRule="exact"/>
              <w:ind w:left="0" w:firstLine="0"/>
              <w:rPr>
                <w:rFonts w:hint="eastAsia" w:ascii="楷体_GB2312" w:eastAsia="楷体_GB2312" w:cs="宋体"/>
                <w:sz w:val="24"/>
                <w:szCs w:val="24"/>
                <w:lang w:bidi="ar-SA"/>
              </w:rPr>
            </w:pPr>
            <w:r>
              <w:rPr>
                <w:rFonts w:hint="eastAsia" w:ascii="楷体_GB2312" w:eastAsia="楷体_GB2312" w:cs="宋体"/>
                <w:sz w:val="24"/>
                <w:szCs w:val="24"/>
                <w:lang w:bidi="ar-SA"/>
              </w:rPr>
              <w:t>90</w:t>
            </w:r>
          </w:p>
        </w:tc>
        <w:tc>
          <w:tcPr>
            <w:tcW w:w="1350" w:type="dxa"/>
            <w:tcBorders>
              <w:top w:val="single" w:color="auto" w:sz="4" w:space="0"/>
              <w:left w:val="nil"/>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二等奖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9" w:hRule="atLeast"/>
        </w:trPr>
        <w:tc>
          <w:tcPr>
            <w:tcW w:w="8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val="en-US" w:eastAsia="zh-CN" w:bidi="ar-SA"/>
              </w:rPr>
              <w:t>6</w:t>
            </w:r>
          </w:p>
        </w:tc>
        <w:tc>
          <w:tcPr>
            <w:tcW w:w="618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bidi="ar-SA"/>
              </w:rPr>
              <w:t>广元冬季大风特征与预报指标研究</w:t>
            </w:r>
          </w:p>
        </w:tc>
        <w:tc>
          <w:tcPr>
            <w:tcW w:w="870" w:type="dxa"/>
            <w:tcBorders>
              <w:top w:val="single" w:color="auto" w:sz="4" w:space="0"/>
              <w:left w:val="nil"/>
              <w:bottom w:val="single" w:color="auto" w:sz="4" w:space="0"/>
              <w:right w:val="single" w:color="auto" w:sz="4" w:space="0"/>
              <w:tl2br w:val="nil"/>
              <w:tr2bl w:val="nil"/>
            </w:tcBorders>
            <w:vAlign w:val="center"/>
          </w:tcPr>
          <w:p>
            <w:pPr>
              <w:spacing w:line="576" w:lineRule="exact"/>
              <w:ind w:left="0" w:firstLine="0"/>
              <w:rPr>
                <w:rFonts w:hint="eastAsia" w:ascii="楷体_GB2312" w:eastAsia="楷体_GB2312" w:cs="宋体"/>
                <w:sz w:val="24"/>
                <w:szCs w:val="24"/>
                <w:lang w:bidi="ar-SA"/>
              </w:rPr>
            </w:pPr>
            <w:r>
              <w:rPr>
                <w:rFonts w:hint="eastAsia" w:ascii="楷体_GB2312" w:eastAsia="楷体_GB2312" w:cs="宋体"/>
                <w:sz w:val="24"/>
                <w:szCs w:val="24"/>
                <w:lang w:bidi="ar-SA"/>
              </w:rPr>
              <w:t>87</w:t>
            </w:r>
          </w:p>
        </w:tc>
        <w:tc>
          <w:tcPr>
            <w:tcW w:w="1350" w:type="dxa"/>
            <w:tcBorders>
              <w:top w:val="single" w:color="auto" w:sz="4" w:space="0"/>
              <w:left w:val="nil"/>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二等奖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9" w:hRule="atLeast"/>
        </w:trPr>
        <w:tc>
          <w:tcPr>
            <w:tcW w:w="81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val="en-US" w:eastAsia="zh-CN" w:bidi="ar-SA"/>
              </w:rPr>
              <w:t>7</w:t>
            </w:r>
          </w:p>
        </w:tc>
        <w:tc>
          <w:tcPr>
            <w:tcW w:w="618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bidi="ar-SA"/>
              </w:rPr>
              <w:t>中部型ENSO对中国东部地区夏季极端降水影响的年代际变化</w:t>
            </w:r>
          </w:p>
        </w:tc>
        <w:tc>
          <w:tcPr>
            <w:tcW w:w="870" w:type="dxa"/>
            <w:tcBorders>
              <w:top w:val="single" w:color="auto" w:sz="4" w:space="0"/>
              <w:left w:val="nil"/>
              <w:bottom w:val="single" w:color="auto" w:sz="4" w:space="0"/>
              <w:right w:val="single" w:color="auto" w:sz="4" w:space="0"/>
              <w:tl2br w:val="nil"/>
              <w:tr2bl w:val="nil"/>
            </w:tcBorders>
            <w:vAlign w:val="center"/>
          </w:tcPr>
          <w:p>
            <w:pPr>
              <w:spacing w:line="576" w:lineRule="exact"/>
              <w:ind w:left="0" w:firstLine="0"/>
              <w:rPr>
                <w:rFonts w:hint="eastAsia" w:ascii="楷体_GB2312" w:eastAsia="楷体_GB2312" w:cs="宋体"/>
                <w:sz w:val="24"/>
                <w:szCs w:val="24"/>
                <w:lang w:bidi="ar-SA"/>
              </w:rPr>
            </w:pPr>
            <w:r>
              <w:rPr>
                <w:rFonts w:hint="eastAsia" w:ascii="楷体_GB2312" w:eastAsia="楷体_GB2312" w:cs="宋体"/>
                <w:sz w:val="24"/>
                <w:szCs w:val="24"/>
                <w:lang w:bidi="ar-SA"/>
              </w:rPr>
              <w:t>85.33</w:t>
            </w:r>
          </w:p>
        </w:tc>
        <w:tc>
          <w:tcPr>
            <w:tcW w:w="1350" w:type="dxa"/>
            <w:tcBorders>
              <w:top w:val="single" w:color="auto" w:sz="4" w:space="0"/>
              <w:left w:val="nil"/>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二等奖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9" w:hRule="atLeast"/>
        </w:trPr>
        <w:tc>
          <w:tcPr>
            <w:tcW w:w="81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val="en-US" w:eastAsia="zh-CN" w:bidi="ar-SA"/>
              </w:rPr>
              <w:t>8</w:t>
            </w:r>
          </w:p>
        </w:tc>
        <w:tc>
          <w:tcPr>
            <w:tcW w:w="6182"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bidi="ar-SA"/>
              </w:rPr>
              <w:t>公立医院如何迈好高质量发展的坚实一步——基于DRG成本核算的成本控制浅谈</w:t>
            </w:r>
          </w:p>
        </w:tc>
        <w:tc>
          <w:tcPr>
            <w:tcW w:w="870" w:type="dxa"/>
            <w:tcBorders>
              <w:top w:val="single" w:color="auto" w:sz="4" w:space="0"/>
              <w:left w:val="nil"/>
              <w:bottom w:val="single" w:color="auto" w:sz="4" w:space="0"/>
              <w:right w:val="single" w:color="auto" w:sz="4" w:space="0"/>
              <w:tl2br w:val="nil"/>
              <w:tr2bl w:val="nil"/>
            </w:tcBorders>
            <w:vAlign w:val="center"/>
          </w:tcPr>
          <w:p>
            <w:pPr>
              <w:spacing w:line="576" w:lineRule="exact"/>
              <w:ind w:left="0" w:firstLine="0"/>
              <w:rPr>
                <w:rFonts w:hint="eastAsia" w:ascii="楷体_GB2312" w:eastAsia="楷体_GB2312" w:cs="宋体"/>
                <w:sz w:val="24"/>
                <w:szCs w:val="24"/>
                <w:lang w:bidi="ar-SA"/>
              </w:rPr>
            </w:pPr>
            <w:r>
              <w:rPr>
                <w:rFonts w:hint="eastAsia" w:ascii="楷体_GB2312" w:eastAsia="楷体_GB2312" w:cs="宋体"/>
                <w:sz w:val="24"/>
                <w:szCs w:val="24"/>
                <w:lang w:bidi="ar-SA"/>
              </w:rPr>
              <w:t>77.33</w:t>
            </w:r>
          </w:p>
        </w:tc>
        <w:tc>
          <w:tcPr>
            <w:tcW w:w="1350" w:type="dxa"/>
            <w:tcBorders>
              <w:top w:val="single" w:color="auto" w:sz="4" w:space="0"/>
              <w:left w:val="nil"/>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4" w:hRule="atLeast"/>
        </w:trPr>
        <w:tc>
          <w:tcPr>
            <w:tcW w:w="81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val="en-US" w:eastAsia="zh-CN" w:bidi="ar-SA"/>
              </w:rPr>
              <w:t>9</w:t>
            </w:r>
          </w:p>
        </w:tc>
        <w:tc>
          <w:tcPr>
            <w:tcW w:w="6182"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bidi="ar-SA"/>
              </w:rPr>
              <w:t>《企业会计核算精细化管控的实施要略》</w:t>
            </w:r>
          </w:p>
        </w:tc>
        <w:tc>
          <w:tcPr>
            <w:tcW w:w="870" w:type="dxa"/>
            <w:tcBorders>
              <w:top w:val="single" w:color="auto" w:sz="4" w:space="0"/>
              <w:left w:val="nil"/>
              <w:bottom w:val="single" w:color="auto" w:sz="4" w:space="0"/>
              <w:right w:val="single" w:color="auto" w:sz="4" w:space="0"/>
              <w:tl2br w:val="nil"/>
              <w:tr2bl w:val="nil"/>
            </w:tcBorders>
            <w:vAlign w:val="center"/>
          </w:tcPr>
          <w:p>
            <w:pPr>
              <w:spacing w:line="576" w:lineRule="exact"/>
              <w:ind w:left="0" w:firstLine="0"/>
              <w:rPr>
                <w:rFonts w:hint="eastAsia" w:ascii="楷体_GB2312" w:eastAsia="楷体_GB2312" w:cs="宋体"/>
                <w:sz w:val="24"/>
                <w:szCs w:val="24"/>
                <w:lang w:bidi="ar-SA"/>
              </w:rPr>
            </w:pPr>
            <w:r>
              <w:rPr>
                <w:rFonts w:hint="eastAsia" w:ascii="楷体_GB2312" w:eastAsia="楷体_GB2312" w:cs="宋体"/>
                <w:sz w:val="24"/>
                <w:szCs w:val="24"/>
                <w:lang w:bidi="ar-SA"/>
              </w:rPr>
              <w:t>71.33</w:t>
            </w:r>
          </w:p>
        </w:tc>
        <w:tc>
          <w:tcPr>
            <w:tcW w:w="1350" w:type="dxa"/>
            <w:tcBorders>
              <w:top w:val="single" w:color="auto" w:sz="4" w:space="0"/>
              <w:left w:val="nil"/>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9" w:hRule="atLeast"/>
        </w:trPr>
        <w:tc>
          <w:tcPr>
            <w:tcW w:w="81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val="en-US" w:eastAsia="zh-CN" w:bidi="ar-SA"/>
              </w:rPr>
              <w:t>10</w:t>
            </w:r>
          </w:p>
        </w:tc>
        <w:tc>
          <w:tcPr>
            <w:tcW w:w="6182"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bidi="ar-SA"/>
              </w:rPr>
              <w:t>《大数据时代企业管理会计面临的挑战与应对策略》</w:t>
            </w:r>
          </w:p>
        </w:tc>
        <w:tc>
          <w:tcPr>
            <w:tcW w:w="870" w:type="dxa"/>
            <w:tcBorders>
              <w:top w:val="single" w:color="auto" w:sz="4" w:space="0"/>
              <w:left w:val="nil"/>
              <w:bottom w:val="single" w:color="auto" w:sz="4" w:space="0"/>
              <w:right w:val="single" w:color="auto" w:sz="4" w:space="0"/>
              <w:tl2br w:val="nil"/>
              <w:tr2bl w:val="nil"/>
            </w:tcBorders>
            <w:vAlign w:val="center"/>
          </w:tcPr>
          <w:p>
            <w:pPr>
              <w:spacing w:line="576" w:lineRule="exact"/>
              <w:ind w:left="0" w:firstLine="0"/>
              <w:rPr>
                <w:rFonts w:hint="eastAsia" w:ascii="楷体_GB2312" w:eastAsia="楷体_GB2312" w:cs="宋体"/>
                <w:sz w:val="24"/>
                <w:szCs w:val="24"/>
                <w:lang w:bidi="ar-SA"/>
              </w:rPr>
            </w:pPr>
            <w:r>
              <w:rPr>
                <w:rFonts w:hint="eastAsia" w:ascii="楷体_GB2312" w:eastAsia="楷体_GB2312" w:cs="宋体"/>
                <w:sz w:val="24"/>
                <w:szCs w:val="24"/>
                <w:lang w:bidi="ar-SA"/>
              </w:rPr>
              <w:t>69.33</w:t>
            </w:r>
          </w:p>
        </w:tc>
        <w:tc>
          <w:tcPr>
            <w:tcW w:w="1350" w:type="dxa"/>
            <w:tcBorders>
              <w:top w:val="single" w:color="auto" w:sz="4" w:space="0"/>
              <w:left w:val="nil"/>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9" w:hRule="atLeast"/>
        </w:trPr>
        <w:tc>
          <w:tcPr>
            <w:tcW w:w="81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val="en-US" w:eastAsia="zh-CN" w:bidi="ar-SA"/>
              </w:rPr>
              <w:t>11</w:t>
            </w:r>
          </w:p>
        </w:tc>
        <w:tc>
          <w:tcPr>
            <w:tcW w:w="6182" w:type="dxa"/>
            <w:tcBorders>
              <w:top w:val="single" w:color="auto" w:sz="4" w:space="0"/>
              <w:left w:val="nil"/>
              <w:bottom w:val="single" w:color="auto" w:sz="4" w:space="0"/>
              <w:right w:val="single" w:color="auto" w:sz="4" w:space="0"/>
              <w:tl2br w:val="nil"/>
              <w:tr2bl w:val="nil"/>
            </w:tcBorders>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bidi="ar-SA"/>
              </w:rPr>
              <w:t>《DRGs付费方式下公立医院财务管理分析》</w:t>
            </w:r>
          </w:p>
        </w:tc>
        <w:tc>
          <w:tcPr>
            <w:tcW w:w="870" w:type="dxa"/>
            <w:tcBorders>
              <w:top w:val="single" w:color="auto" w:sz="4" w:space="0"/>
              <w:left w:val="nil"/>
              <w:bottom w:val="single" w:color="auto" w:sz="4" w:space="0"/>
              <w:right w:val="single" w:color="auto" w:sz="4" w:space="0"/>
              <w:tl2br w:val="nil"/>
              <w:tr2bl w:val="nil"/>
            </w:tcBorders>
            <w:vAlign w:val="center"/>
          </w:tcPr>
          <w:p>
            <w:pPr>
              <w:spacing w:line="576" w:lineRule="exact"/>
              <w:ind w:left="0" w:firstLine="0"/>
              <w:rPr>
                <w:rFonts w:hint="eastAsia" w:ascii="楷体_GB2312" w:eastAsia="楷体_GB2312" w:cs="宋体"/>
                <w:sz w:val="24"/>
                <w:szCs w:val="24"/>
                <w:lang w:bidi="ar-SA"/>
              </w:rPr>
            </w:pPr>
            <w:r>
              <w:rPr>
                <w:rFonts w:hint="eastAsia" w:ascii="楷体_GB2312" w:eastAsia="楷体_GB2312" w:cs="宋体"/>
                <w:sz w:val="24"/>
                <w:szCs w:val="24"/>
                <w:lang w:bidi="ar-SA"/>
              </w:rPr>
              <w:t>68.33</w:t>
            </w:r>
          </w:p>
        </w:tc>
        <w:tc>
          <w:tcPr>
            <w:tcW w:w="1350" w:type="dxa"/>
            <w:tcBorders>
              <w:top w:val="single" w:color="auto" w:sz="4" w:space="0"/>
              <w:left w:val="nil"/>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6" w:hRule="atLeast"/>
        </w:trPr>
        <w:tc>
          <w:tcPr>
            <w:tcW w:w="8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bidi="ar-SA"/>
              </w:rPr>
              <w:t>1</w:t>
            </w:r>
            <w:r>
              <w:rPr>
                <w:rFonts w:hint="eastAsia" w:ascii="楷体_GB2312" w:eastAsia="楷体_GB2312" w:cs="宋体"/>
                <w:sz w:val="24"/>
                <w:szCs w:val="24"/>
                <w:lang w:val="en-US" w:eastAsia="zh-CN" w:bidi="ar-SA"/>
              </w:rPr>
              <w:t>2</w:t>
            </w:r>
          </w:p>
        </w:tc>
        <w:tc>
          <w:tcPr>
            <w:tcW w:w="618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bidi="ar-SA"/>
              </w:rPr>
              <w:t>营造“全阅读”生态，助力核心素养发展</w:t>
            </w:r>
          </w:p>
        </w:tc>
        <w:tc>
          <w:tcPr>
            <w:tcW w:w="870" w:type="dxa"/>
            <w:tcBorders>
              <w:top w:val="single" w:color="auto" w:sz="4" w:space="0"/>
              <w:left w:val="nil"/>
              <w:bottom w:val="single" w:color="auto" w:sz="4" w:space="0"/>
              <w:right w:val="single" w:color="auto" w:sz="4" w:space="0"/>
              <w:tl2br w:val="nil"/>
              <w:tr2bl w:val="nil"/>
            </w:tcBorders>
            <w:vAlign w:val="center"/>
          </w:tcPr>
          <w:p>
            <w:pPr>
              <w:spacing w:line="576" w:lineRule="exact"/>
              <w:ind w:left="0" w:firstLine="0"/>
              <w:rPr>
                <w:rFonts w:hint="eastAsia" w:ascii="楷体_GB2312" w:eastAsia="楷体_GB2312" w:cs="宋体"/>
                <w:sz w:val="24"/>
                <w:szCs w:val="24"/>
                <w:lang w:bidi="ar-SA"/>
              </w:rPr>
            </w:pPr>
            <w:r>
              <w:rPr>
                <w:rFonts w:hint="eastAsia" w:ascii="楷体_GB2312" w:eastAsia="楷体_GB2312" w:cs="宋体"/>
                <w:sz w:val="24"/>
                <w:szCs w:val="24"/>
                <w:lang w:bidi="ar-SA"/>
              </w:rPr>
              <w:t>65.33</w:t>
            </w:r>
          </w:p>
        </w:tc>
        <w:tc>
          <w:tcPr>
            <w:tcW w:w="1350" w:type="dxa"/>
            <w:tcBorders>
              <w:top w:val="single" w:color="auto" w:sz="4" w:space="0"/>
              <w:left w:val="nil"/>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6" w:hRule="atLeast"/>
        </w:trPr>
        <w:tc>
          <w:tcPr>
            <w:tcW w:w="8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val="en-US" w:eastAsia="zh-CN" w:bidi="ar-SA"/>
              </w:rPr>
              <w:t>13</w:t>
            </w:r>
          </w:p>
        </w:tc>
        <w:tc>
          <w:tcPr>
            <w:tcW w:w="618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b w:val="0"/>
                <w:i w:val="0"/>
                <w:caps w:val="0"/>
                <w:smallCaps w:val="0"/>
                <w:snapToGrid/>
                <w:vanish w:val="0"/>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b w:val="0"/>
                <w:i w:val="0"/>
                <w:caps w:val="0"/>
                <w:smallCaps w:val="0"/>
                <w:vanish w:val="0"/>
                <w:sz w:val="24"/>
                <w:szCs w:val="24"/>
                <w:lang w:val="en-US" w:eastAsia="zh-CN" w:bidi="ar-SA"/>
              </w:rPr>
              <w:t>水利工程中土石坝的施工管理探讨</w:t>
            </w:r>
          </w:p>
        </w:tc>
        <w:tc>
          <w:tcPr>
            <w:tcW w:w="870" w:type="dxa"/>
            <w:tcBorders>
              <w:top w:val="single" w:color="auto" w:sz="4" w:space="0"/>
              <w:left w:val="nil"/>
              <w:bottom w:val="single" w:color="auto" w:sz="4" w:space="0"/>
              <w:right w:val="single" w:color="auto" w:sz="4" w:space="0"/>
              <w:tl2br w:val="nil"/>
              <w:tr2bl w:val="nil"/>
            </w:tcBorders>
            <w:vAlign w:val="center"/>
          </w:tcPr>
          <w:p>
            <w:pPr>
              <w:spacing w:line="576" w:lineRule="exact"/>
              <w:ind w:left="0" w:firstLine="0"/>
              <w:rPr>
                <w:rFonts w:hint="eastAsia" w:ascii="楷体_GB2312" w:eastAsia="楷体_GB2312" w:cs="宋体"/>
                <w:sz w:val="24"/>
                <w:szCs w:val="24"/>
                <w:lang w:bidi="ar-SA"/>
              </w:rPr>
            </w:pPr>
            <w:r>
              <w:rPr>
                <w:rFonts w:hint="eastAsia" w:ascii="楷体_GB2312" w:eastAsia="楷体_GB2312" w:cs="宋体"/>
                <w:sz w:val="24"/>
                <w:szCs w:val="24"/>
                <w:lang w:bidi="ar-SA"/>
              </w:rPr>
              <w:t>64.33</w:t>
            </w:r>
          </w:p>
        </w:tc>
        <w:tc>
          <w:tcPr>
            <w:tcW w:w="1350" w:type="dxa"/>
            <w:tcBorders>
              <w:top w:val="single" w:color="auto" w:sz="4" w:space="0"/>
              <w:left w:val="nil"/>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三等奖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6" w:hRule="atLeast"/>
        </w:trPr>
        <w:tc>
          <w:tcPr>
            <w:tcW w:w="81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val="en-US" w:eastAsia="zh-CN" w:bidi="ar-SA"/>
              </w:rPr>
              <w:t>14</w:t>
            </w:r>
          </w:p>
        </w:tc>
        <w:tc>
          <w:tcPr>
            <w:tcW w:w="618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right="0" w:firstLine="0"/>
              <w:contextualSpacing w:val="0"/>
              <w:jc w:val="both"/>
              <w:rPr>
                <w:rFonts w:hint="eastAsia" w:ascii="楷体_GB2312" w:eastAsia="楷体_GB2312" w:cs="宋体"/>
                <w:snapToGrid/>
                <w:color w:val="auto"/>
                <w:spacing w:val="0"/>
                <w:w w:val="100"/>
                <w:kern w:val="2"/>
                <w:position w:val="0"/>
                <w:sz w:val="24"/>
                <w:szCs w:val="24"/>
                <w:u w:val="none" w:color="auto"/>
                <w:shd w:val="clear" w:color="auto" w:fill="auto"/>
                <w:vertAlign w:val="baseline"/>
                <w:lang w:val="en-US" w:eastAsia="zh-CN" w:bidi="ar-SA"/>
              </w:rPr>
            </w:pPr>
            <w:r>
              <w:rPr>
                <w:rFonts w:hint="eastAsia" w:ascii="楷体_GB2312" w:eastAsia="楷体_GB2312" w:cs="宋体"/>
                <w:sz w:val="24"/>
                <w:szCs w:val="24"/>
                <w:lang w:bidi="ar-SA"/>
              </w:rPr>
              <w:t>小学数学结构模块教学实施的“五大要点”</w:t>
            </w:r>
          </w:p>
        </w:tc>
        <w:tc>
          <w:tcPr>
            <w:tcW w:w="870" w:type="dxa"/>
            <w:tcBorders>
              <w:top w:val="single" w:color="auto" w:sz="4" w:space="0"/>
              <w:left w:val="nil"/>
              <w:bottom w:val="single" w:color="auto" w:sz="4" w:space="0"/>
              <w:right w:val="single" w:color="auto" w:sz="4" w:space="0"/>
              <w:tl2br w:val="nil"/>
              <w:tr2bl w:val="nil"/>
            </w:tcBorders>
            <w:vAlign w:val="center"/>
          </w:tcPr>
          <w:p>
            <w:pPr>
              <w:spacing w:line="576" w:lineRule="exact"/>
              <w:ind w:left="0" w:firstLine="0"/>
              <w:rPr>
                <w:rFonts w:hint="eastAsia" w:ascii="楷体_GB2312" w:eastAsia="楷体_GB2312" w:cs="宋体"/>
                <w:sz w:val="24"/>
                <w:szCs w:val="24"/>
                <w:lang w:bidi="ar-SA"/>
              </w:rPr>
            </w:pPr>
            <w:r>
              <w:rPr>
                <w:rFonts w:hint="eastAsia" w:ascii="楷体_GB2312" w:eastAsia="楷体_GB2312" w:cs="宋体"/>
                <w:sz w:val="24"/>
                <w:szCs w:val="24"/>
                <w:lang w:bidi="ar-SA"/>
              </w:rPr>
              <w:t>63.67</w:t>
            </w:r>
          </w:p>
        </w:tc>
        <w:tc>
          <w:tcPr>
            <w:tcW w:w="1350" w:type="dxa"/>
            <w:tcBorders>
              <w:top w:val="single" w:color="auto" w:sz="4" w:space="0"/>
              <w:left w:val="nil"/>
              <w:bottom w:val="single" w:color="auto" w:sz="4" w:space="0"/>
              <w:right w:val="single" w:color="auto" w:sz="4" w:space="0"/>
              <w:tl2br w:val="nil"/>
              <w:tr2bl w:val="nil"/>
            </w:tcBorders>
            <w:vAlign w:val="center"/>
          </w:tcPr>
          <w:p>
            <w:pPr>
              <w:jc w:val="center"/>
              <w:rPr>
                <w:rFonts w:ascii="楷体_GB2312" w:eastAsia="楷体_GB2312"/>
                <w:sz w:val="28"/>
                <w:szCs w:val="28"/>
              </w:rPr>
            </w:pPr>
            <w:r>
              <w:rPr>
                <w:rFonts w:ascii="楷体_GB2312" w:eastAsia="楷体_GB2312"/>
                <w:sz w:val="28"/>
                <w:szCs w:val="28"/>
              </w:rPr>
              <w:t>三等奖</w:t>
            </w:r>
          </w:p>
        </w:tc>
      </w:tr>
    </w:tbl>
    <w:p/>
    <w:sectPr>
      <w:pgSz w:w="11907" w:h="16839"/>
      <w:pgMar w:top="1440" w:right="1803" w:bottom="1440" w:left="1803" w:header="851" w:footer="992"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7FD775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5">
    <w:name w:val="Normal (Web)"/>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 w:type="character" w:styleId="8">
    <w:name w:val="Hyperlink"/>
    <w:qFormat/>
    <w:uiPriority w:val="0"/>
    <w:rPr>
      <w:color w:val="0000FF"/>
      <w:u w:val="single"/>
    </w:rPr>
  </w:style>
  <w:style w:type="paragraph" w:customStyle="1" w:styleId="9">
    <w:name w:val="BodyText1I2"/>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200" w:leftChars="200" w:right="0" w:firstLine="200" w:firstLineChars="20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1617</Words>
  <Characters>2659</Characters>
  <Paragraphs>340</Paragraphs>
  <TotalTime>40</TotalTime>
  <ScaleCrop>false</ScaleCrop>
  <LinksUpToDate>false</LinksUpToDate>
  <CharactersWithSpaces>2839</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2024-10-15T16:48:00Z</dcterms:created>
  <dc:creator>user</dc:creator>
  <cp:lastModifiedBy>user</cp:lastModifiedBy>
  <dcterms:modified xsi:type="dcterms:W3CDTF">2024-10-15T09:38:38Z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ed1b06ce57bd4382a1f25ac33db88ecf</vt:lpwstr>
  </property>
</Properties>
</file>