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3" w:lineRule="auto"/>
        <w:rPr>
          <w:rFonts w:ascii="Arial"/>
          <w:sz w:val="21"/>
        </w:rPr>
      </w:pPr>
    </w:p>
    <w:p>
      <w:pPr>
        <w:spacing w:line="283" w:lineRule="auto"/>
        <w:rPr>
          <w:rFonts w:ascii="Arial"/>
          <w:sz w:val="21"/>
        </w:rPr>
      </w:pPr>
    </w:p>
    <w:p>
      <w:pPr>
        <w:spacing w:line="242" w:lineRule="auto"/>
        <w:rPr>
          <w:rFonts w:ascii="Arial"/>
          <w:sz w:val="21"/>
        </w:rPr>
      </w:pPr>
    </w:p>
    <w:p>
      <w:pPr>
        <w:spacing w:line="242" w:lineRule="auto"/>
        <w:rPr>
          <w:rFonts w:ascii="Arial"/>
          <w:sz w:val="21"/>
        </w:rPr>
      </w:pPr>
    </w:p>
    <w:p>
      <w:pPr>
        <w:keepNext w:val="0"/>
        <w:keepLines w:val="0"/>
        <w:pageBreakBefore w:val="0"/>
        <w:widowControl/>
        <w:suppressLineNumbers w:val="0"/>
        <w:shd w:val="clear" w:color="auto" w:fill="FFFFFF"/>
        <w:kinsoku/>
        <w:overflowPunct/>
        <w:topLinePunct w:val="0"/>
        <w:autoSpaceDE/>
        <w:autoSpaceDN/>
        <w:bidi w:val="0"/>
        <w:adjustRightInd/>
        <w:snapToGrid/>
        <w:spacing w:line="576" w:lineRule="exact"/>
        <w:ind w:left="0" w:firstLine="0"/>
        <w:jc w:val="center"/>
        <w:textAlignment w:val="auto"/>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pPr>
      <w:r>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t>广元市科学技术协会</w:t>
      </w:r>
    </w:p>
    <w:p>
      <w:pPr>
        <w:keepNext w:val="0"/>
        <w:keepLines w:val="0"/>
        <w:pageBreakBefore w:val="0"/>
        <w:widowControl/>
        <w:suppressLineNumbers w:val="0"/>
        <w:shd w:val="clear" w:color="auto" w:fill="FFFFFF"/>
        <w:kinsoku/>
        <w:overflowPunct/>
        <w:topLinePunct w:val="0"/>
        <w:autoSpaceDE/>
        <w:autoSpaceDN/>
        <w:bidi w:val="0"/>
        <w:adjustRightInd/>
        <w:snapToGrid/>
        <w:spacing w:line="576" w:lineRule="exact"/>
        <w:ind w:left="0" w:firstLine="0"/>
        <w:jc w:val="center"/>
        <w:textAlignment w:val="auto"/>
        <w:outlineLvl w:val="9"/>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pPr>
      <w:bookmarkStart w:id="0" w:name="_Toc12687"/>
      <w:bookmarkStart w:id="1" w:name="_Toc12255"/>
      <w:r>
        <w:rPr>
          <w:rFonts w:hint="eastAsia" w:ascii="CESI小标宋-GB2312" w:hAnsi="CESI小标宋-GB2312" w:eastAsia="CESI小标宋-GB2312" w:cs="CESI小标宋-GB2312"/>
          <w:b/>
          <w:bCs/>
          <w:i w:val="0"/>
          <w:caps w:val="0"/>
          <w:color w:val="333333"/>
          <w:spacing w:val="0"/>
          <w:kern w:val="0"/>
          <w:sz w:val="44"/>
          <w:szCs w:val="44"/>
          <w:shd w:val="clear" w:color="auto" w:fill="FFFFFF"/>
          <w:lang w:val="en-US" w:eastAsia="zh-CN" w:bidi="ar"/>
        </w:rPr>
        <w:t>采购“2025年度广元市天府科技云高质量发展第三方服务”项目</w:t>
      </w:r>
      <w:bookmarkEnd w:id="0"/>
      <w:bookmarkEnd w:id="1"/>
    </w:p>
    <w:p>
      <w:pPr>
        <w:spacing w:line="242" w:lineRule="auto"/>
        <w:rPr>
          <w:rFonts w:ascii="Arial"/>
          <w:sz w:val="21"/>
        </w:rPr>
      </w:pPr>
    </w:p>
    <w:p>
      <w:pPr>
        <w:spacing w:line="242" w:lineRule="auto"/>
        <w:rPr>
          <w:rFonts w:ascii="Arial"/>
          <w:sz w:val="21"/>
        </w:rPr>
      </w:pPr>
    </w:p>
    <w:p>
      <w:pPr>
        <w:spacing w:line="256" w:lineRule="auto"/>
        <w:rPr>
          <w:rFonts w:ascii="Arial"/>
          <w:sz w:val="21"/>
        </w:rPr>
      </w:pPr>
    </w:p>
    <w:p>
      <w:pPr>
        <w:spacing w:line="256" w:lineRule="auto"/>
        <w:rPr>
          <w:rFonts w:ascii="Arial"/>
          <w:sz w:val="21"/>
        </w:rPr>
      </w:pPr>
    </w:p>
    <w:p>
      <w:pPr>
        <w:pStyle w:val="2"/>
      </w:pPr>
    </w:p>
    <w:p>
      <w:pPr>
        <w:spacing w:line="256" w:lineRule="auto"/>
        <w:rPr>
          <w:rFonts w:ascii="Arial"/>
          <w:sz w:val="21"/>
        </w:rPr>
      </w:pPr>
    </w:p>
    <w:p>
      <w:pPr>
        <w:spacing w:before="271" w:line="222" w:lineRule="auto"/>
        <w:ind w:left="1502"/>
        <w:outlineLvl w:val="9"/>
        <w:rPr>
          <w:rFonts w:ascii="宋体" w:hAnsi="宋体" w:eastAsia="宋体" w:cs="宋体"/>
          <w:sz w:val="83"/>
          <w:szCs w:val="83"/>
        </w:rPr>
      </w:pPr>
      <w:bookmarkStart w:id="2" w:name="_Toc24123"/>
      <w:bookmarkStart w:id="3" w:name="_Toc9493"/>
      <w:r>
        <w:rPr>
          <w:rFonts w:ascii="宋体" w:hAnsi="宋体" w:eastAsia="宋体" w:cs="宋体"/>
          <w:spacing w:val="10"/>
          <w:sz w:val="83"/>
          <w:szCs w:val="83"/>
          <w14:textOutline w14:w="15255" w14:cap="sq" w14:cmpd="sng">
            <w14:solidFill>
              <w14:srgbClr w14:val="000000"/>
            </w14:solidFill>
            <w14:prstDash w14:val="solid"/>
            <w14:bevel/>
          </w14:textOutline>
        </w:rPr>
        <w:t>竞</w:t>
      </w:r>
      <w:r>
        <w:rPr>
          <w:rFonts w:ascii="宋体" w:hAnsi="宋体" w:eastAsia="宋体" w:cs="宋体"/>
          <w:spacing w:val="6"/>
          <w:sz w:val="83"/>
          <w:szCs w:val="83"/>
          <w14:textOutline w14:w="15255" w14:cap="sq" w14:cmpd="sng">
            <w14:solidFill>
              <w14:srgbClr w14:val="000000"/>
            </w14:solidFill>
            <w14:prstDash w14:val="solid"/>
            <w14:bevel/>
          </w14:textOutline>
        </w:rPr>
        <w:t>争性磋商文件</w:t>
      </w:r>
      <w:bookmarkEnd w:id="2"/>
      <w:bookmarkEnd w:id="3"/>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2"/>
      </w:pPr>
    </w:p>
    <w:p>
      <w:pPr>
        <w:pStyle w:val="2"/>
      </w:pPr>
    </w:p>
    <w:p>
      <w:pPr>
        <w:pStyle w:val="2"/>
      </w:pPr>
    </w:p>
    <w:p>
      <w:pPr>
        <w:pStyle w:val="2"/>
      </w:pPr>
    </w:p>
    <w:p>
      <w:pPr>
        <w:pStyle w:val="2"/>
      </w:pPr>
    </w:p>
    <w:p>
      <w:pPr>
        <w:pStyle w:val="2"/>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2"/>
        <w:rPr>
          <w:rFonts w:ascii="Arial"/>
          <w:sz w:val="21"/>
        </w:rPr>
      </w:pPr>
    </w:p>
    <w:p>
      <w:pPr>
        <w:pStyle w:val="2"/>
        <w:rPr>
          <w:rFonts w:ascii="Arial"/>
          <w:sz w:val="21"/>
        </w:rPr>
      </w:pPr>
    </w:p>
    <w:p>
      <w:pPr>
        <w:pStyle w:val="2"/>
        <w:rPr>
          <w:rFonts w:ascii="Arial"/>
          <w:sz w:val="21"/>
        </w:rPr>
      </w:pPr>
    </w:p>
    <w:p>
      <w:pPr>
        <w:spacing w:line="261" w:lineRule="auto"/>
        <w:rPr>
          <w:rFonts w:ascii="Arial"/>
          <w:sz w:val="21"/>
        </w:rPr>
      </w:pPr>
    </w:p>
    <w:p>
      <w:pPr>
        <w:pStyle w:val="1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1860" w:firstLineChars="600"/>
        <w:jc w:val="both"/>
        <w:textAlignment w:val="auto"/>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pPr>
      <w:r>
        <w:rPr>
          <w:rFonts w:ascii="宋体" w:hAnsi="宋体" w:eastAsia="宋体" w:cs="宋体"/>
          <w:spacing w:val="10"/>
          <w:sz w:val="29"/>
          <w:szCs w:val="29"/>
          <w14:textOutline w14:w="5448" w14:cap="sq" w14:cmpd="sng">
            <w14:solidFill>
              <w14:srgbClr w14:val="000000"/>
            </w14:solidFill>
            <w14:prstDash w14:val="solid"/>
            <w14:bevel/>
          </w14:textOutline>
        </w:rPr>
        <w:t>采</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购</w:t>
      </w:r>
      <w:r>
        <w:rPr>
          <w:rFonts w:ascii="宋体" w:hAnsi="宋体" w:eastAsia="宋体" w:cs="宋体"/>
          <w:spacing w:val="10"/>
          <w:sz w:val="29"/>
          <w:szCs w:val="29"/>
        </w:rPr>
        <w:t xml:space="preserve"> </w:t>
      </w:r>
      <w:r>
        <w:rPr>
          <w:rFonts w:ascii="宋体" w:hAnsi="宋体" w:eastAsia="宋体" w:cs="宋体"/>
          <w:spacing w:val="10"/>
          <w:sz w:val="29"/>
          <w:szCs w:val="29"/>
          <w14:textOutline w14:w="5448" w14:cap="sq" w14:cmpd="sng">
            <w14:solidFill>
              <w14:srgbClr w14:val="000000"/>
            </w14:solidFill>
            <w14:prstDash w14:val="solid"/>
            <w14:bevel/>
          </w14:textOutline>
        </w:rPr>
        <w:t>人：</w:t>
      </w:r>
      <w:r>
        <w:rPr>
          <w:rFonts w:hint="eastAsia" w:ascii="宋体" w:hAnsi="宋体" w:eastAsia="宋体" w:cs="宋体"/>
          <w:spacing w:val="10"/>
          <w:sz w:val="29"/>
          <w:szCs w:val="29"/>
          <w:lang w:val="en-US" w:eastAsia="zh-CN"/>
          <w14:textOutline w14:w="5448" w14:cap="sq" w14:cmpd="sng">
            <w14:solidFill>
              <w14:srgbClr w14:val="000000"/>
            </w14:solidFill>
            <w14:prstDash w14:val="solid"/>
            <w14:bevel/>
          </w14:textOutline>
        </w:rPr>
        <w:t>广元市科学技术协会</w:t>
      </w:r>
    </w:p>
    <w:p>
      <w:pPr>
        <w:spacing w:before="270" w:line="226" w:lineRule="auto"/>
        <w:ind w:left="3634"/>
        <w:rPr>
          <w:rFonts w:ascii="宋体" w:hAnsi="宋体" w:eastAsia="宋体" w:cs="宋体"/>
          <w:sz w:val="29"/>
          <w:szCs w:val="29"/>
        </w:rPr>
      </w:pPr>
      <w:r>
        <w:rPr>
          <w:rFonts w:ascii="宋体" w:hAnsi="宋体" w:eastAsia="宋体" w:cs="宋体"/>
          <w:spacing w:val="-21"/>
          <w:sz w:val="29"/>
          <w:szCs w:val="29"/>
          <w14:textOutline w14:w="5448" w14:cap="sq" w14:cmpd="sng">
            <w14:solidFill>
              <w14:srgbClr w14:val="000000"/>
            </w14:solidFill>
            <w14:prstDash w14:val="solid"/>
            <w14:bevel/>
          </w14:textOutline>
        </w:rPr>
        <w:t>2</w:t>
      </w:r>
      <w:r>
        <w:rPr>
          <w:rFonts w:ascii="宋体" w:hAnsi="宋体" w:eastAsia="宋体" w:cs="宋体"/>
          <w:spacing w:val="-16"/>
          <w:sz w:val="29"/>
          <w:szCs w:val="29"/>
          <w14:textOutline w14:w="5448" w14:cap="sq" w14:cmpd="sng">
            <w14:solidFill>
              <w14:srgbClr w14:val="000000"/>
            </w14:solidFill>
            <w14:prstDash w14:val="solid"/>
            <w14:bevel/>
          </w14:textOutline>
        </w:rPr>
        <w:t>02</w:t>
      </w:r>
      <w:r>
        <w:rPr>
          <w:rFonts w:hint="eastAsia" w:ascii="宋体" w:hAnsi="宋体" w:eastAsia="宋体" w:cs="宋体"/>
          <w:spacing w:val="-16"/>
          <w:sz w:val="29"/>
          <w:szCs w:val="29"/>
          <w:lang w:val="en-US" w:eastAsia="zh-CN"/>
          <w14:textOutline w14:w="5448" w14:cap="sq" w14:cmpd="sng">
            <w14:solidFill>
              <w14:srgbClr w14:val="000000"/>
            </w14:solidFill>
            <w14:prstDash w14:val="solid"/>
            <w14:bevel/>
          </w14:textOutline>
        </w:rPr>
        <w:t>4</w:t>
      </w:r>
      <w:r>
        <w:rPr>
          <w:rFonts w:ascii="宋体" w:hAnsi="宋体" w:eastAsia="宋体" w:cs="宋体"/>
          <w:spacing w:val="-16"/>
          <w:sz w:val="29"/>
          <w:szCs w:val="29"/>
        </w:rPr>
        <w:t xml:space="preserve"> </w:t>
      </w:r>
      <w:r>
        <w:rPr>
          <w:rFonts w:ascii="宋体" w:hAnsi="宋体" w:eastAsia="宋体" w:cs="宋体"/>
          <w:spacing w:val="-16"/>
          <w:sz w:val="29"/>
          <w:szCs w:val="29"/>
          <w14:textOutline w14:w="5448" w14:cap="sq" w14:cmpd="sng">
            <w14:solidFill>
              <w14:srgbClr w14:val="000000"/>
            </w14:solidFill>
            <w14:prstDash w14:val="solid"/>
            <w14:bevel/>
          </w14:textOutline>
        </w:rPr>
        <w:t>年</w:t>
      </w:r>
      <w:r>
        <w:rPr>
          <w:rFonts w:hint="eastAsia" w:ascii="宋体" w:hAnsi="宋体" w:eastAsia="宋体" w:cs="宋体"/>
          <w:spacing w:val="-16"/>
          <w:sz w:val="29"/>
          <w:szCs w:val="29"/>
          <w:lang w:val="en-US" w:eastAsia="zh-CN"/>
          <w14:textOutline w14:w="5448" w14:cap="sq" w14:cmpd="sng">
            <w14:solidFill>
              <w14:srgbClr w14:val="000000"/>
            </w14:solidFill>
            <w14:prstDash w14:val="solid"/>
            <w14:bevel/>
          </w14:textOutline>
        </w:rPr>
        <w:t xml:space="preserve"> 12</w:t>
      </w:r>
      <w:r>
        <w:rPr>
          <w:rFonts w:ascii="宋体" w:hAnsi="宋体" w:eastAsia="宋体" w:cs="宋体"/>
          <w:spacing w:val="-16"/>
          <w:sz w:val="29"/>
          <w:szCs w:val="29"/>
          <w14:textOutline w14:w="5448" w14:cap="sq" w14:cmpd="sng">
            <w14:solidFill>
              <w14:srgbClr w14:val="000000"/>
            </w14:solidFill>
            <w14:prstDash w14:val="solid"/>
            <w14:bevel/>
          </w14:textOutline>
        </w:rPr>
        <w:t>月</w:t>
      </w:r>
    </w:p>
    <w:p>
      <w:pPr>
        <w:sectPr>
          <w:headerReference r:id="rId5" w:type="default"/>
          <w:footerReference r:id="rId6" w:type="default"/>
          <w:pgSz w:w="11906" w:h="16839"/>
          <w:pgMar w:top="1417" w:right="1417" w:bottom="1417" w:left="1417" w:header="851" w:footer="991" w:gutter="0"/>
          <w:cols w:space="0" w:num="1"/>
          <w:rtlGutter w:val="0"/>
        </w:sectPr>
      </w:pPr>
    </w:p>
    <w:sdt>
      <w:sdtPr>
        <w:id w:val="147456242"/>
        <w15:color w:val="DBDBDB"/>
        <w:docPartObj>
          <w:docPartGallery w:val="Table of Contents"/>
          <w:docPartUnique/>
        </w:docPartObj>
      </w:sdtPr>
      <w:sdtEndPr>
        <w:rPr>
          <w:rFonts w:hint="eastAsia" w:ascii="Arial" w:hAnsi="Arial" w:eastAsia="Arial" w:cs="Arial"/>
          <w:b/>
          <w:snapToGrid w:val="0"/>
          <w:color w:val="000000"/>
          <w:kern w:val="0"/>
          <w:sz w:val="21"/>
          <w:szCs w:val="21"/>
        </w:rPr>
      </w:sdtEndPr>
      <w:sdtContent>
        <w:p>
          <w:pPr>
            <w:pStyle w:val="30"/>
            <w:widowControl/>
          </w:pPr>
          <w:r>
            <w:t>目    录</w:t>
          </w:r>
        </w:p>
        <w:p>
          <w:pPr>
            <w:pStyle w:val="15"/>
            <w:tabs>
              <w:tab w:val="right" w:leader="dot" w:pos="9318"/>
            </w:tabs>
            <w:spacing w:line="480" w:lineRule="auto"/>
            <w:rPr>
              <w:rFonts w:hint="eastAsia" w:ascii="宋体" w:hAnsi="宋体" w:eastAsia="宋体" w:cs="宋体"/>
              <w:sz w:val="24"/>
              <w:szCs w:val="24"/>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TOC \o "1-2" \h \u </w:instrText>
          </w:r>
          <w:r>
            <w:rPr>
              <w:rFonts w:hint="eastAsia" w:ascii="黑体" w:hAnsi="黑体" w:eastAsia="黑体" w:cs="黑体"/>
              <w:sz w:val="28"/>
              <w:szCs w:val="28"/>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_Toc24123 </w:instrText>
          </w:r>
          <w:r>
            <w:rPr>
              <w:rFonts w:hint="eastAsia" w:ascii="宋体" w:hAnsi="宋体" w:eastAsia="宋体" w:cs="宋体"/>
              <w:sz w:val="24"/>
              <w:szCs w:val="24"/>
            </w:rPr>
            <w:fldChar w:fldCharType="separate"/>
          </w:r>
          <w:r>
            <w:rPr>
              <w:rFonts w:hint="eastAsia" w:ascii="宋体" w:hAnsi="宋体" w:eastAsia="宋体" w:cs="宋体"/>
              <w:spacing w:val="10"/>
              <w:sz w:val="24"/>
              <w:szCs w:val="24"/>
              <w14:textOutline w14:w="15255" w14:cap="sq" w14:cmpd="sng">
                <w14:solidFill>
                  <w14:srgbClr w14:val="000000"/>
                </w14:solidFill>
                <w14:prstDash w14:val="solid"/>
                <w14:bevel/>
              </w14:textOutline>
            </w:rPr>
            <w:t>竞</w:t>
          </w:r>
          <w:r>
            <w:rPr>
              <w:rFonts w:hint="eastAsia" w:ascii="宋体" w:hAnsi="宋体" w:eastAsia="宋体" w:cs="宋体"/>
              <w:spacing w:val="6"/>
              <w:sz w:val="24"/>
              <w:szCs w:val="24"/>
              <w14:textOutline w14:w="15255" w14:cap="sq" w14:cmpd="sng">
                <w14:solidFill>
                  <w14:srgbClr w14:val="000000"/>
                </w14:solidFill>
                <w14:prstDash w14:val="solid"/>
                <w14:bevel/>
              </w14:textOutline>
            </w:rPr>
            <w:t>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_Toc24123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931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_Toc31979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一章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竞争性磋商邀请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_Toc31979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931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_Toc3455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二章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_Toc3455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_Toc10724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三章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供应商资格条件要求</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_Toc11733 </w:instrText>
          </w:r>
          <w:r>
            <w:rPr>
              <w:rFonts w:hint="eastAsia" w:ascii="宋体" w:hAnsi="宋体" w:eastAsia="宋体" w:cs="宋体"/>
              <w:sz w:val="24"/>
              <w:szCs w:val="24"/>
            </w:rPr>
            <w:fldChar w:fldCharType="separate"/>
          </w:r>
          <w:r>
            <w:rPr>
              <w:rFonts w:hint="eastAsia" w:ascii="宋体" w:hAnsi="宋体" w:eastAsia="宋体" w:cs="宋体"/>
              <w:spacing w:val="13"/>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四章</w:t>
          </w:r>
          <w:r>
            <w:rPr>
              <w:rFonts w:hint="eastAsia" w:ascii="宋体" w:hAnsi="宋体" w:eastAsia="宋体" w:cs="宋体"/>
              <w:spacing w:val="9"/>
              <w:sz w:val="24"/>
              <w:szCs w:val="24"/>
            </w:rPr>
            <w:t xml:space="preserve">  </w:t>
          </w:r>
          <w:r>
            <w:rPr>
              <w:rFonts w:hint="eastAsia" w:ascii="宋体" w:hAnsi="宋体" w:eastAsia="宋体" w:cs="宋体"/>
              <w:spacing w:val="9"/>
              <w:sz w:val="24"/>
              <w:szCs w:val="24"/>
              <w14:textOutline w14:w="5793" w14:cap="sq" w14:cmpd="sng">
                <w14:solidFill>
                  <w14:srgbClr w14:val="000000"/>
                </w14:solidFill>
                <w14:prstDash w14:val="solid"/>
                <w14:bevel/>
              </w14:textOutline>
            </w:rPr>
            <w:t>供应商资格证明材料</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8</w:t>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_Toc16367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10"/>
              <w:sz w:val="24"/>
              <w:szCs w:val="24"/>
              <w14:textOutline w14:w="5793" w14:cap="sq" w14:cmpd="sng">
                <w14:solidFill>
                  <w14:srgbClr w14:val="000000"/>
                </w14:solidFill>
                <w14:prstDash w14:val="solid"/>
                <w14:bevel/>
              </w14:textOutline>
            </w:rPr>
            <w:t>五章</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采购项目技术、服务、采购合同内容条款</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_Toc25049 </w:instrText>
          </w:r>
          <w:r>
            <w:rPr>
              <w:rFonts w:hint="eastAsia" w:ascii="宋体" w:hAnsi="宋体" w:eastAsia="宋体" w:cs="宋体"/>
              <w:sz w:val="24"/>
              <w:szCs w:val="24"/>
            </w:rPr>
            <w:fldChar w:fldCharType="separate"/>
          </w:r>
          <w:r>
            <w:rPr>
              <w:rFonts w:hint="eastAsia" w:ascii="宋体" w:hAnsi="宋体" w:eastAsia="宋体" w:cs="宋体"/>
              <w:spacing w:val="11"/>
              <w:sz w:val="24"/>
              <w:szCs w:val="24"/>
              <w14:textOutline w14:w="5793" w14:cap="sq" w14:cmpd="sng">
                <w14:solidFill>
                  <w14:srgbClr w14:val="000000"/>
                </w14:solidFill>
                <w14:prstDash w14:val="solid"/>
                <w14:bevel/>
              </w14:textOutline>
            </w:rPr>
            <w:t>及</w:t>
          </w:r>
          <w:r>
            <w:rPr>
              <w:rFonts w:hint="eastAsia" w:ascii="宋体" w:hAnsi="宋体" w:eastAsia="宋体" w:cs="宋体"/>
              <w:spacing w:val="9"/>
              <w:sz w:val="24"/>
              <w:szCs w:val="24"/>
              <w14:textOutline w14:w="5793" w14:cap="sq" w14:cmpd="sng">
                <w14:solidFill>
                  <w14:srgbClr w14:val="000000"/>
                </w14:solidFill>
                <w14:prstDash w14:val="solid"/>
                <w14:bevel/>
              </w14:textOutline>
            </w:rPr>
            <w:t>其他商务要求</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_Toc4642 </w:instrText>
          </w:r>
          <w:r>
            <w:rPr>
              <w:rFonts w:hint="eastAsia" w:ascii="宋体" w:hAnsi="宋体" w:eastAsia="宋体" w:cs="宋体"/>
              <w:sz w:val="24"/>
              <w:szCs w:val="24"/>
            </w:rPr>
            <w:fldChar w:fldCharType="separate"/>
          </w:r>
          <w:r>
            <w:rPr>
              <w:rFonts w:hint="eastAsia" w:ascii="宋体" w:hAnsi="宋体" w:eastAsia="宋体" w:cs="宋体"/>
              <w:spacing w:val="17"/>
              <w:sz w:val="24"/>
              <w:szCs w:val="24"/>
              <w14:textOutline w14:w="5793" w14:cap="sq" w14:cmpd="sng">
                <w14:solidFill>
                  <w14:srgbClr w14:val="000000"/>
                </w14:solidFill>
                <w14:prstDash w14:val="solid"/>
                <w14:bevel/>
              </w14:textOutline>
            </w:rPr>
            <w:t>第</w:t>
          </w:r>
          <w:r>
            <w:rPr>
              <w:rFonts w:hint="eastAsia" w:ascii="宋体" w:hAnsi="宋体" w:eastAsia="宋体" w:cs="宋体"/>
              <w:spacing w:val="9"/>
              <w:sz w:val="24"/>
              <w:szCs w:val="24"/>
              <w14:textOutline w14:w="5793" w14:cap="sq" w14:cmpd="sng">
                <w14:solidFill>
                  <w14:srgbClr w14:val="000000"/>
                </w14:solidFill>
                <w14:prstDash w14:val="solid"/>
                <w14:bevel/>
              </w14:textOutline>
            </w:rPr>
            <w:t>六章</w:t>
          </w:r>
          <w:r>
            <w:rPr>
              <w:rFonts w:hint="eastAsia" w:ascii="宋体" w:hAnsi="宋体" w:eastAsia="宋体" w:cs="宋体"/>
              <w:spacing w:val="9"/>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响应文件格式</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w:t>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_Toc24563 </w:instrText>
          </w:r>
          <w:r>
            <w:rPr>
              <w:rFonts w:hint="eastAsia" w:ascii="宋体" w:hAnsi="宋体" w:eastAsia="宋体" w:cs="宋体"/>
              <w:sz w:val="24"/>
              <w:szCs w:val="24"/>
            </w:rPr>
            <w:fldChar w:fldCharType="separate"/>
          </w:r>
          <w:r>
            <w:rPr>
              <w:rFonts w:hint="eastAsia" w:ascii="宋体" w:hAnsi="宋体" w:eastAsia="宋体" w:cs="宋体"/>
              <w:spacing w:val="14"/>
              <w:sz w:val="24"/>
              <w:szCs w:val="24"/>
              <w14:textOutline w14:w="5793" w14:cap="sq" w14:cmpd="sng">
                <w14:solidFill>
                  <w14:srgbClr w14:val="000000"/>
                </w14:solidFill>
                <w14:prstDash w14:val="solid"/>
                <w14:bevel/>
              </w14:textOutline>
            </w:rPr>
            <w:t>第</w:t>
          </w:r>
          <w:r>
            <w:rPr>
              <w:rFonts w:hint="eastAsia" w:ascii="宋体" w:hAnsi="宋体" w:eastAsia="宋体" w:cs="宋体"/>
              <w:spacing w:val="10"/>
              <w:sz w:val="24"/>
              <w:szCs w:val="24"/>
              <w14:textOutline w14:w="5793" w14:cap="sq" w14:cmpd="sng">
                <w14:solidFill>
                  <w14:srgbClr w14:val="000000"/>
                </w14:solidFill>
                <w14:prstDash w14:val="solid"/>
                <w14:bevel/>
              </w14:textOutline>
            </w:rPr>
            <w:t>七章</w:t>
          </w:r>
          <w:r>
            <w:rPr>
              <w:rFonts w:hint="eastAsia" w:ascii="宋体" w:hAnsi="宋体" w:eastAsia="宋体" w:cs="宋体"/>
              <w:spacing w:val="10"/>
              <w:sz w:val="24"/>
              <w:szCs w:val="24"/>
            </w:rPr>
            <w:t xml:space="preserve">  </w:t>
          </w:r>
          <w:r>
            <w:rPr>
              <w:rFonts w:hint="eastAsia" w:ascii="宋体" w:hAnsi="宋体" w:eastAsia="宋体" w:cs="宋体"/>
              <w:spacing w:val="10"/>
              <w:sz w:val="24"/>
              <w:szCs w:val="24"/>
              <w14:textOutline w14:w="5793" w14:cap="sq" w14:cmpd="sng">
                <w14:solidFill>
                  <w14:srgbClr w14:val="000000"/>
                </w14:solidFill>
                <w14:prstDash w14:val="solid"/>
                <w14:bevel/>
              </w14:textOutline>
            </w:rPr>
            <w:t>磋商内容、磋商过程中可实质性变动的内容</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pStyle w:val="15"/>
            <w:tabs>
              <w:tab w:val="right" w:leader="dot" w:pos="931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_Toc30385 </w:instrText>
          </w:r>
          <w:r>
            <w:rPr>
              <w:rFonts w:hint="eastAsia" w:ascii="宋体" w:hAnsi="宋体" w:eastAsia="宋体" w:cs="宋体"/>
              <w:sz w:val="24"/>
              <w:szCs w:val="24"/>
            </w:rPr>
            <w:fldChar w:fldCharType="separate"/>
          </w:r>
          <w:r>
            <w:rPr>
              <w:rFonts w:hint="eastAsia" w:ascii="宋体" w:hAnsi="宋体" w:eastAsia="宋体" w:cs="宋体"/>
              <w:spacing w:val="14"/>
              <w:sz w:val="24"/>
              <w:szCs w:val="24"/>
              <w:lang w:val="en-US" w:eastAsia="zh-CN"/>
              <w14:textOutline w14:w="5793" w14:cap="sq" w14:cmpd="sng">
                <w14:solidFill>
                  <w14:srgbClr w14:val="000000"/>
                </w14:solidFill>
                <w14:prstDash w14:val="solid"/>
                <w14:bevel/>
              </w14:textOutline>
            </w:rPr>
            <w:t xml:space="preserve">第八章  </w:t>
          </w:r>
          <w:r>
            <w:rPr>
              <w:rFonts w:hint="eastAsia" w:ascii="宋体" w:hAnsi="宋体" w:eastAsia="宋体" w:cs="宋体"/>
              <w:spacing w:val="14"/>
              <w:sz w:val="24"/>
              <w:szCs w:val="24"/>
              <w14:textOutline w14:w="5793" w14:cap="sq" w14:cmpd="sng">
                <w14:solidFill>
                  <w14:srgbClr w14:val="000000"/>
                </w14:solidFill>
                <w14:prstDash w14:val="solid"/>
                <w14:bevel/>
              </w14:textOutline>
            </w:rPr>
            <w:t>综合评分</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6</w:t>
          </w:r>
        </w:p>
        <w:p>
          <w:pPr>
            <w:pStyle w:val="15"/>
            <w:tabs>
              <w:tab w:val="right" w:leader="dot" w:pos="9318"/>
            </w:tabs>
            <w:spacing w:line="480" w:lineRule="auto"/>
            <w:rPr>
              <w:rFonts w:hint="default" w:ascii="宋体" w:hAnsi="宋体" w:eastAsia="宋体" w:cs="宋体"/>
              <w:spacing w:val="14"/>
              <w:sz w:val="24"/>
              <w:szCs w:val="24"/>
              <w:lang w:val="en-US" w:eastAsia="zh-CN"/>
              <w14:textOutline w14:w="5793" w14:cap="sq" w14:cmpd="sng">
                <w14:solidFill>
                  <w14:srgbClr w14:val="000000"/>
                </w14:solidFill>
                <w14:prstDash w14:val="solid"/>
                <w14:bevel/>
              </w14:textOutline>
            </w:rPr>
          </w:pPr>
          <w:r>
            <w:rPr>
              <w:rFonts w:hint="eastAsia" w:ascii="宋体" w:hAnsi="宋体" w:eastAsia="宋体" w:cs="宋体"/>
              <w:spacing w:val="14"/>
              <w:sz w:val="24"/>
              <w:szCs w:val="24"/>
              <w:lang w:val="en-US" w:eastAsia="zh-CN"/>
              <w14:textOutline w14:w="5793" w14:cap="sq" w14:cmpd="sng">
                <w14:solidFill>
                  <w14:srgbClr w14:val="000000"/>
                </w14:solidFill>
                <w14:prstDash w14:val="solid"/>
                <w14:bevel/>
              </w14:textOutline>
            </w:rPr>
            <w:t>第九章  政府采购合同（草案）</w:t>
          </w:r>
          <w:r>
            <w:rPr>
              <w:rFonts w:hint="eastAsia" w:ascii="宋体" w:hAnsi="宋体" w:eastAsia="宋体" w:cs="宋体"/>
              <w:sz w:val="24"/>
              <w:szCs w:val="24"/>
            </w:rPr>
            <w:tab/>
          </w:r>
          <w:r>
            <w:rPr>
              <w:rFonts w:hint="eastAsia" w:ascii="宋体" w:hAnsi="宋体" w:eastAsia="宋体" w:cs="宋体"/>
              <w:sz w:val="24"/>
              <w:szCs w:val="24"/>
              <w:lang w:val="en-US" w:eastAsia="zh-CN"/>
            </w:rPr>
            <w:t>45</w:t>
          </w:r>
        </w:p>
        <w:p>
          <w:pPr>
            <w:rPr>
              <w:rFonts w:hint="eastAsia"/>
              <w:lang w:val="en-US" w:eastAsia="zh-CN"/>
            </w:rPr>
          </w:pPr>
        </w:p>
        <w:p>
          <w:pPr>
            <w:spacing w:line="480" w:lineRule="auto"/>
            <w:rPr>
              <w:rFonts w:ascii="Arial"/>
              <w:sz w:val="21"/>
            </w:rPr>
          </w:pPr>
          <w:r>
            <w:rPr>
              <w:rFonts w:hint="eastAsia" w:ascii="黑体" w:hAnsi="黑体" w:eastAsia="黑体" w:cs="黑体"/>
              <w:sz w:val="28"/>
              <w:szCs w:val="28"/>
            </w:rPr>
            <w:fldChar w:fldCharType="end"/>
          </w:r>
        </w:p>
      </w:sdtContent>
    </w:sdt>
    <w:p>
      <w:pPr>
        <w:spacing w:line="253" w:lineRule="auto"/>
        <w:rPr>
          <w:rFonts w:ascii="Arial"/>
          <w:sz w:val="21"/>
        </w:rPr>
      </w:pPr>
    </w:p>
    <w:p>
      <w:pPr>
        <w:spacing w:line="300" w:lineRule="auto"/>
        <w:rPr>
          <w:rFonts w:ascii="Arial"/>
          <w:sz w:val="21"/>
        </w:rPr>
      </w:pPr>
    </w:p>
    <w:p>
      <w:pPr>
        <w:spacing w:line="301" w:lineRule="auto"/>
        <w:rPr>
          <w:rFonts w:ascii="Arial"/>
          <w:sz w:val="21"/>
        </w:rPr>
      </w:pPr>
    </w:p>
    <w:p>
      <w:pPr>
        <w:spacing w:before="100" w:line="225" w:lineRule="auto"/>
        <w:ind w:left="2736"/>
        <w:outlineLvl w:val="9"/>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9"/>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9"/>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9"/>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ind w:left="2736"/>
        <w:outlineLvl w:val="9"/>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00" w:line="225" w:lineRule="auto"/>
        <w:outlineLvl w:val="9"/>
        <w:rPr>
          <w:rFonts w:ascii="宋体" w:hAnsi="宋体" w:eastAsia="宋体" w:cs="宋体"/>
          <w:spacing w:val="11"/>
          <w:sz w:val="31"/>
          <w:szCs w:val="31"/>
          <w14:textOutline w14:w="5793" w14:cap="sq" w14:cmpd="sng">
            <w14:solidFill>
              <w14:srgbClr w14:val="000000"/>
            </w14:solidFill>
            <w14:prstDash w14:val="solid"/>
            <w14:bevel/>
          </w14:textOutline>
        </w:rPr>
        <w:sectPr>
          <w:headerReference r:id="rId7" w:type="default"/>
          <w:footerReference r:id="rId8" w:type="default"/>
          <w:pgSz w:w="11906" w:h="16839"/>
          <w:pgMar w:top="1417" w:right="1417" w:bottom="1417" w:left="1417" w:header="1084" w:footer="1069" w:gutter="0"/>
          <w:pgNumType w:start="1"/>
          <w:cols w:space="0" w:num="1"/>
          <w:rtlGutter w:val="0"/>
        </w:sectPr>
      </w:pPr>
    </w:p>
    <w:p>
      <w:pPr>
        <w:pStyle w:val="31"/>
        <w:widowControl/>
        <w:numPr>
          <w:ilvl w:val="0"/>
          <w:numId w:val="1"/>
        </w:numPr>
        <w:ind w:left="0" w:leftChars="0" w:firstLine="0" w:firstLineChars="0"/>
        <w:outlineLvl w:val="0"/>
        <w:rPr>
          <w:b w:val="0"/>
        </w:rPr>
      </w:pPr>
      <w:bookmarkStart w:id="4" w:name="_Toc31979"/>
      <w:r>
        <w:t>竞争性磋商邀请</w:t>
      </w:r>
      <w:bookmarkEnd w:id="4"/>
    </w:p>
    <w:p>
      <w:pPr>
        <w:pStyle w:val="2"/>
        <w:widowControl/>
      </w:pPr>
      <w:r>
        <w:t>广元市科学技术协会拟对“</w:t>
      </w:r>
      <w:r>
        <w:rPr>
          <w:rFonts w:hint="eastAsia"/>
          <w:lang w:val="en-US" w:eastAsia="zh-CN"/>
        </w:rPr>
        <w:t>2025年度广元市天府科技云高质量发展第三方服务</w:t>
      </w:r>
      <w:r>
        <w:t>”项目采用竞争性磋商方式进行采购，特邀请符合本次采购要求的供应商参加本项目的竞争性磋商。</w:t>
      </w:r>
    </w:p>
    <w:p>
      <w:pPr>
        <w:pStyle w:val="2"/>
        <w:widowControl/>
        <w:numPr>
          <w:ilvl w:val="0"/>
          <w:numId w:val="2"/>
        </w:numPr>
        <w:topLinePunct w:val="0"/>
        <w:ind w:left="0" w:leftChars="0" w:firstLine="480" w:firstLineChars="0"/>
        <w:rPr>
          <w:b w:val="0"/>
        </w:rPr>
      </w:pPr>
      <w:bookmarkStart w:id="5" w:name="_Toc2453"/>
      <w:bookmarkStart w:id="6" w:name="_Toc6063"/>
      <w:r>
        <w:t>采购项目基本情况：</w:t>
      </w:r>
      <w:bookmarkEnd w:id="5"/>
      <w:bookmarkEnd w:id="6"/>
    </w:p>
    <w:p>
      <w:pPr>
        <w:pStyle w:val="2"/>
        <w:widowControl/>
        <w:numPr>
          <w:ilvl w:val="0"/>
          <w:numId w:val="3"/>
        </w:numPr>
        <w:ind w:left="0" w:leftChars="0" w:firstLine="480" w:firstLineChars="0"/>
        <w:rPr>
          <w:b w:val="0"/>
        </w:rPr>
      </w:pPr>
      <w:r>
        <w:t>项目编号：GKXCS2025-01</w:t>
      </w:r>
    </w:p>
    <w:p>
      <w:pPr>
        <w:pStyle w:val="2"/>
        <w:widowControl/>
        <w:numPr>
          <w:ilvl w:val="0"/>
          <w:numId w:val="3"/>
        </w:numPr>
        <w:ind w:left="0" w:leftChars="0" w:firstLine="480" w:firstLineChars="0"/>
        <w:rPr>
          <w:b w:val="0"/>
        </w:rPr>
      </w:pPr>
      <w:r>
        <w:t>采购项目名称：</w:t>
      </w:r>
      <w:r>
        <w:rPr>
          <w:rFonts w:hint="eastAsia"/>
          <w:lang w:val="en-US" w:eastAsia="zh-CN"/>
        </w:rPr>
        <w:t>2025年度广元市天府科技云高质量发展第三方服务</w:t>
      </w:r>
    </w:p>
    <w:p>
      <w:pPr>
        <w:pStyle w:val="2"/>
        <w:widowControl/>
        <w:numPr>
          <w:ilvl w:val="0"/>
          <w:numId w:val="3"/>
        </w:numPr>
        <w:ind w:left="0" w:leftChars="0" w:firstLine="480" w:firstLineChars="0"/>
        <w:rPr>
          <w:b w:val="0"/>
        </w:rPr>
      </w:pPr>
      <w:r>
        <w:t>采购人：广元市科学技术协会</w:t>
      </w:r>
    </w:p>
    <w:p>
      <w:pPr>
        <w:pStyle w:val="2"/>
        <w:widowControl/>
        <w:numPr>
          <w:ilvl w:val="0"/>
          <w:numId w:val="2"/>
        </w:numPr>
        <w:topLinePunct w:val="0"/>
        <w:ind w:left="0" w:leftChars="0" w:firstLine="480" w:firstLineChars="0"/>
        <w:rPr>
          <w:b w:val="0"/>
        </w:rPr>
      </w:pPr>
      <w:bookmarkStart w:id="7" w:name="_Toc29724"/>
      <w:bookmarkStart w:id="8" w:name="_Toc12734"/>
      <w:r>
        <w:t>资金情况：</w:t>
      </w:r>
      <w:bookmarkEnd w:id="7"/>
      <w:bookmarkEnd w:id="8"/>
    </w:p>
    <w:p>
      <w:pPr>
        <w:pStyle w:val="2"/>
        <w:widowControl/>
        <w:numPr>
          <w:ilvl w:val="0"/>
          <w:numId w:val="4"/>
        </w:numPr>
        <w:ind w:left="0" w:leftChars="0" w:firstLine="480" w:firstLineChars="0"/>
        <w:rPr>
          <w:b w:val="0"/>
          <w:color w:val="000000"/>
        </w:rPr>
      </w:pPr>
      <w:r>
        <w:rPr>
          <w:color w:val="000000"/>
        </w:rPr>
        <w:t>资金来源。省科协或市财政下达科普专项资金。</w:t>
      </w:r>
    </w:p>
    <w:p>
      <w:pPr>
        <w:pStyle w:val="2"/>
        <w:widowControl/>
        <w:numPr>
          <w:ilvl w:val="0"/>
          <w:numId w:val="2"/>
        </w:numPr>
        <w:topLinePunct w:val="0"/>
        <w:ind w:left="0" w:leftChars="0" w:firstLine="480" w:firstLineChars="0"/>
        <w:rPr>
          <w:b w:val="0"/>
        </w:rPr>
      </w:pPr>
      <w:bookmarkStart w:id="9" w:name="_Toc25883"/>
      <w:bookmarkStart w:id="10" w:name="_Toc28354"/>
      <w:r>
        <w:rPr>
          <w:rFonts w:hint="eastAsia"/>
          <w:lang w:val="en-US" w:eastAsia="zh-CN"/>
        </w:rPr>
        <w:t>按照省科协《关于2024年度科普科服专项资金规范使用及项目备案的通知》（川科协发〔2024〕153号）要求，围绕“推动天府科技云服务高质量发展”总体工作要求，组织资金分配和项目实施。</w:t>
      </w:r>
    </w:p>
    <w:p>
      <w:pPr>
        <w:pStyle w:val="2"/>
        <w:widowControl/>
        <w:numPr>
          <w:ilvl w:val="0"/>
          <w:numId w:val="2"/>
        </w:numPr>
        <w:topLinePunct w:val="0"/>
        <w:ind w:left="0" w:leftChars="0" w:firstLine="480" w:firstLineChars="0"/>
        <w:rPr>
          <w:b w:val="0"/>
        </w:rPr>
      </w:pPr>
      <w:r>
        <w:t>采购项目简介：</w:t>
      </w:r>
      <w:bookmarkEnd w:id="9"/>
      <w:bookmarkEnd w:id="10"/>
    </w:p>
    <w:p>
      <w:pPr>
        <w:pStyle w:val="2"/>
        <w:widowControl/>
        <w:numPr>
          <w:ilvl w:val="0"/>
          <w:numId w:val="0"/>
        </w:numPr>
        <w:ind w:left="480" w:leftChars="0"/>
      </w:pPr>
      <w:r>
        <w:t>本项目共 1 个包。采购内容为：</w:t>
      </w:r>
      <w:r>
        <w:rPr>
          <w:rFonts w:hint="eastAsia"/>
          <w:lang w:val="en-US" w:eastAsia="zh-CN"/>
        </w:rPr>
        <w:t>2025年度广元市天府科技云高质量发展第三方服务</w:t>
      </w:r>
      <w:r>
        <w:t>(具体要求详见磋商文件第五章) 。</w:t>
      </w:r>
    </w:p>
    <w:p>
      <w:pPr>
        <w:pStyle w:val="2"/>
        <w:widowControl/>
        <w:numPr>
          <w:ilvl w:val="0"/>
          <w:numId w:val="2"/>
        </w:numPr>
        <w:topLinePunct w:val="0"/>
        <w:ind w:left="0" w:leftChars="0" w:firstLine="480" w:firstLineChars="0"/>
        <w:rPr>
          <w:b w:val="0"/>
        </w:rPr>
      </w:pPr>
      <w:bookmarkStart w:id="11" w:name="_Toc6648"/>
      <w:bookmarkStart w:id="12" w:name="_Toc32681"/>
      <w:r>
        <w:t>供应商邀请方式</w:t>
      </w:r>
      <w:bookmarkEnd w:id="11"/>
      <w:bookmarkEnd w:id="12"/>
    </w:p>
    <w:p>
      <w:pPr>
        <w:pStyle w:val="2"/>
        <w:widowControl/>
      </w:pPr>
      <w:r>
        <w:t>公告方式：本次竞争性磋商邀请在广元市科学技术协会官网，网址：http://gyskx.gov.cn/htm/index.htm上以公告形式发布。</w:t>
      </w:r>
    </w:p>
    <w:p>
      <w:pPr>
        <w:pStyle w:val="2"/>
        <w:widowControl/>
        <w:numPr>
          <w:ilvl w:val="0"/>
          <w:numId w:val="2"/>
        </w:numPr>
        <w:topLinePunct w:val="0"/>
        <w:ind w:left="0" w:leftChars="0" w:firstLine="480" w:firstLineChars="0"/>
        <w:rPr>
          <w:b w:val="0"/>
          <w:color w:val="000000"/>
        </w:rPr>
      </w:pPr>
      <w:r>
        <w:t>供应商参加本次采购项目须具备的资格要求：</w:t>
      </w:r>
    </w:p>
    <w:p>
      <w:pPr>
        <w:pStyle w:val="2"/>
        <w:widowControl/>
        <w:numPr>
          <w:ilvl w:val="0"/>
          <w:numId w:val="5"/>
        </w:numPr>
        <w:ind w:left="0" w:leftChars="0" w:firstLine="480" w:firstLineChars="0"/>
        <w:rPr>
          <w:b w:val="0"/>
        </w:rPr>
      </w:pPr>
      <w:r>
        <w:t>符合基本条件。</w:t>
      </w:r>
    </w:p>
    <w:p>
      <w:pPr>
        <w:pStyle w:val="2"/>
        <w:widowControl/>
        <w:numPr>
          <w:ilvl w:val="0"/>
          <w:numId w:val="6"/>
        </w:numPr>
        <w:ind w:left="0" w:leftChars="0" w:firstLine="480" w:firstLineChars="0"/>
        <w:rPr>
          <w:b w:val="0"/>
        </w:rPr>
      </w:pPr>
      <w:r>
        <w:t>具有独立承担民事责任的能力。</w:t>
      </w:r>
    </w:p>
    <w:p>
      <w:pPr>
        <w:pStyle w:val="2"/>
        <w:widowControl/>
        <w:numPr>
          <w:ilvl w:val="0"/>
          <w:numId w:val="6"/>
        </w:numPr>
        <w:ind w:left="0" w:leftChars="0" w:firstLine="480" w:firstLineChars="0"/>
        <w:rPr>
          <w:b w:val="0"/>
        </w:rPr>
      </w:pPr>
      <w:r>
        <w:t>具有良好的商业信誉和健全的财务会计制度。</w:t>
      </w:r>
    </w:p>
    <w:p>
      <w:pPr>
        <w:pStyle w:val="2"/>
        <w:widowControl/>
        <w:numPr>
          <w:ilvl w:val="0"/>
          <w:numId w:val="6"/>
        </w:numPr>
        <w:ind w:left="0" w:leftChars="0" w:firstLine="480" w:firstLineChars="0"/>
        <w:rPr>
          <w:b w:val="0"/>
        </w:rPr>
      </w:pPr>
      <w:r>
        <w:t>具有履行合同所必需的设备和专业技术能力。</w:t>
      </w:r>
    </w:p>
    <w:p>
      <w:pPr>
        <w:pStyle w:val="2"/>
        <w:widowControl/>
        <w:numPr>
          <w:ilvl w:val="0"/>
          <w:numId w:val="6"/>
        </w:numPr>
        <w:ind w:left="0" w:leftChars="0" w:firstLine="480" w:firstLineChars="0"/>
        <w:rPr>
          <w:b w:val="0"/>
        </w:rPr>
      </w:pPr>
      <w:r>
        <w:t>有依法缴纳税收和社会保障资金的良好记录。</w:t>
      </w:r>
    </w:p>
    <w:p>
      <w:pPr>
        <w:pStyle w:val="2"/>
        <w:widowControl/>
        <w:numPr>
          <w:ilvl w:val="0"/>
          <w:numId w:val="6"/>
        </w:numPr>
        <w:ind w:left="0" w:leftChars="0" w:firstLine="480" w:firstLineChars="0"/>
        <w:rPr>
          <w:b w:val="0"/>
        </w:rPr>
      </w:pPr>
      <w:r>
        <w:t>参加采购活动前三年内，在经营活动中没有重大违法记录。</w:t>
      </w:r>
    </w:p>
    <w:p>
      <w:pPr>
        <w:pStyle w:val="2"/>
        <w:widowControl/>
        <w:numPr>
          <w:ilvl w:val="0"/>
          <w:numId w:val="6"/>
        </w:numPr>
        <w:ind w:left="0" w:leftChars="0" w:firstLine="480" w:firstLineChars="0"/>
        <w:rPr>
          <w:b w:val="0"/>
        </w:rPr>
      </w:pPr>
      <w:r>
        <w:t>法律、行政法规规定的其他条件。</w:t>
      </w:r>
    </w:p>
    <w:p>
      <w:pPr>
        <w:pStyle w:val="2"/>
        <w:widowControl/>
        <w:numPr>
          <w:ilvl w:val="0"/>
          <w:numId w:val="5"/>
        </w:numPr>
        <w:ind w:left="0" w:leftChars="0" w:firstLine="480" w:firstLineChars="0"/>
        <w:rPr>
          <w:b w:val="0"/>
        </w:rPr>
      </w:pPr>
      <w:r>
        <w:t>根据采购项目提出的特殊条件：</w:t>
      </w:r>
    </w:p>
    <w:p>
      <w:pPr>
        <w:pStyle w:val="2"/>
        <w:widowControl/>
        <w:numPr>
          <w:ilvl w:val="0"/>
          <w:numId w:val="7"/>
        </w:numPr>
        <w:ind w:left="0" w:leftChars="0" w:firstLine="480" w:firstLineChars="0"/>
        <w:rPr>
          <w:b w:val="0"/>
        </w:rPr>
      </w:pPr>
      <w:r>
        <w:t>本项目参加采购活动的供应商在前三年内不得具有行贿犯罪记录。</w:t>
      </w:r>
    </w:p>
    <w:p>
      <w:pPr>
        <w:pStyle w:val="2"/>
        <w:widowControl/>
        <w:numPr>
          <w:ilvl w:val="0"/>
          <w:numId w:val="7"/>
        </w:numPr>
        <w:ind w:left="0" w:leftChars="0" w:firstLine="480" w:firstLineChars="0"/>
        <w:rPr>
          <w:b w:val="0"/>
        </w:rPr>
      </w:pPr>
      <w:r>
        <w:t>本项目不接受联合体参加。</w:t>
      </w:r>
    </w:p>
    <w:p>
      <w:pPr>
        <w:pStyle w:val="2"/>
        <w:widowControl/>
        <w:numPr>
          <w:ilvl w:val="0"/>
          <w:numId w:val="2"/>
        </w:numPr>
        <w:topLinePunct w:val="0"/>
        <w:ind w:left="0" w:leftChars="0" w:firstLine="480" w:firstLineChars="0"/>
        <w:rPr>
          <w:b w:val="0"/>
        </w:rPr>
      </w:pPr>
      <w:r>
        <w:t>禁止参加本次采购活动的供应商：详见磋商文件总则第 3 条和第 5 条。</w:t>
      </w:r>
    </w:p>
    <w:p>
      <w:pPr>
        <w:pStyle w:val="2"/>
        <w:widowControl/>
        <w:numPr>
          <w:ilvl w:val="0"/>
          <w:numId w:val="2"/>
        </w:numPr>
        <w:topLinePunct w:val="0"/>
        <w:ind w:left="0" w:leftChars="0" w:firstLine="480" w:firstLineChars="0"/>
        <w:rPr>
          <w:rFonts w:ascii="宋体" w:hAnsi="宋体" w:eastAsia="宋体" w:cs="宋体"/>
          <w:spacing w:val="5"/>
          <w:sz w:val="23"/>
          <w:szCs w:val="23"/>
        </w:rPr>
      </w:pPr>
      <w:r>
        <w:t>磋商文件获取方式、时间、地点：磋商文件可在“广元市科学技术协会http://www.gyskx.gov.cn/htm/index.htm”网站上免费获取。获取时间期限：自 2024年 1</w:t>
      </w:r>
      <w:r>
        <w:rPr>
          <w:rFonts w:hint="eastAsia"/>
          <w:lang w:val="en-US" w:eastAsia="zh-CN"/>
        </w:rPr>
        <w:t>2</w:t>
      </w:r>
      <w:r>
        <w:t>月</w:t>
      </w:r>
      <w:r>
        <w:rPr>
          <w:rFonts w:hint="eastAsia"/>
          <w:lang w:val="en-US" w:eastAsia="zh-CN"/>
        </w:rPr>
        <w:t>6</w:t>
      </w:r>
      <w:r>
        <w:t>日至 2024年1</w:t>
      </w:r>
      <w:r>
        <w:rPr>
          <w:rFonts w:hint="eastAsia"/>
          <w:lang w:val="en-US" w:eastAsia="zh-CN"/>
        </w:rPr>
        <w:t>2</w:t>
      </w:r>
      <w:r>
        <w:t>月</w:t>
      </w:r>
      <w:r>
        <w:rPr>
          <w:rFonts w:hint="eastAsia"/>
          <w:lang w:val="en-US" w:eastAsia="zh-CN"/>
        </w:rPr>
        <w:t>17</w:t>
      </w:r>
      <w:r>
        <w:t>日 (北京时间，法定节假日除外) 。</w:t>
      </w:r>
    </w:p>
    <w:p>
      <w:pPr>
        <w:pStyle w:val="2"/>
        <w:widowControl/>
        <w:numPr>
          <w:ilvl w:val="0"/>
          <w:numId w:val="2"/>
        </w:numPr>
        <w:topLinePunct w:val="0"/>
        <w:ind w:left="0" w:leftChars="0" w:firstLine="480" w:firstLineChars="0"/>
        <w:rPr>
          <w:b w:val="0"/>
        </w:rPr>
      </w:pPr>
      <w:r>
        <w:t>递交响应文件截止时间：2024年1</w:t>
      </w:r>
      <w:r>
        <w:rPr>
          <w:rFonts w:hint="eastAsia"/>
          <w:lang w:val="en-US" w:eastAsia="zh-CN"/>
        </w:rPr>
        <w:t>2</w:t>
      </w:r>
      <w:r>
        <w:t>月1</w:t>
      </w:r>
      <w:r>
        <w:rPr>
          <w:rFonts w:hint="eastAsia"/>
          <w:lang w:val="en-US" w:eastAsia="zh-CN"/>
        </w:rPr>
        <w:t>7</w:t>
      </w:r>
      <w:r>
        <w:t xml:space="preserve">日 </w:t>
      </w:r>
      <w:r>
        <w:rPr>
          <w:rFonts w:hint="eastAsia"/>
          <w:lang w:val="en-US" w:eastAsia="zh-CN"/>
        </w:rPr>
        <w:t>9：00</w:t>
      </w:r>
      <w:r>
        <w:t xml:space="preserve"> (北京时间) 。</w:t>
      </w:r>
    </w:p>
    <w:p>
      <w:pPr>
        <w:pStyle w:val="2"/>
        <w:widowControl/>
        <w:numPr>
          <w:ilvl w:val="0"/>
          <w:numId w:val="2"/>
        </w:numPr>
        <w:topLinePunct w:val="0"/>
        <w:ind w:left="0" w:leftChars="0" w:firstLine="480" w:firstLineChars="0"/>
        <w:rPr>
          <w:b w:val="0"/>
        </w:rPr>
      </w:pPr>
      <w:bookmarkStart w:id="13" w:name="_Toc21440"/>
      <w:bookmarkStart w:id="14" w:name="_Toc31694"/>
      <w:r>
        <w:t>递交响应文件地点：同磋商地点。</w:t>
      </w:r>
      <w:bookmarkEnd w:id="13"/>
      <w:bookmarkEnd w:id="14"/>
    </w:p>
    <w:p>
      <w:pPr>
        <w:pStyle w:val="2"/>
        <w:widowControl/>
      </w:pPr>
      <w:r>
        <w:t>响应文件必须在递交响应文件截止时间前送达磋商地点。逾期送达或者未按照磋 商文件要求密封的响应文件恕不接受。本次采购不接收邮寄的响应文件。</w:t>
      </w:r>
    </w:p>
    <w:p>
      <w:pPr>
        <w:pStyle w:val="2"/>
        <w:widowControl/>
        <w:numPr>
          <w:ilvl w:val="0"/>
          <w:numId w:val="2"/>
        </w:numPr>
        <w:topLinePunct w:val="0"/>
        <w:ind w:left="0" w:leftChars="0" w:firstLine="480" w:firstLineChars="0"/>
        <w:rPr>
          <w:b w:val="0"/>
        </w:rPr>
      </w:pPr>
      <w:r>
        <w:t>响应文件开启时间及磋商时间：同递交响应文件截止时间。</w:t>
      </w:r>
    </w:p>
    <w:p>
      <w:pPr>
        <w:pStyle w:val="2"/>
        <w:widowControl/>
        <w:numPr>
          <w:ilvl w:val="0"/>
          <w:numId w:val="2"/>
        </w:numPr>
        <w:topLinePunct w:val="0"/>
        <w:ind w:left="0" w:leftChars="0" w:firstLine="480" w:firstLineChars="0"/>
        <w:rPr>
          <w:b w:val="0"/>
        </w:rPr>
      </w:pPr>
      <w:r>
        <w:t>磋商地点：广元市科学技术协会会议室</w:t>
      </w:r>
    </w:p>
    <w:p>
      <w:pPr>
        <w:pStyle w:val="2"/>
        <w:widowControl/>
        <w:numPr>
          <w:ilvl w:val="0"/>
          <w:numId w:val="2"/>
        </w:numPr>
        <w:topLinePunct w:val="0"/>
        <w:ind w:left="0" w:leftChars="0" w:firstLine="480" w:firstLineChars="0"/>
        <w:rPr>
          <w:b w:val="0"/>
        </w:rPr>
      </w:pPr>
      <w:r>
        <w:t>联系方式</w:t>
      </w:r>
    </w:p>
    <w:p>
      <w:pPr>
        <w:pStyle w:val="2"/>
        <w:widowControl/>
      </w:pPr>
      <w:r>
        <w:t>采购人：广元市科学技术协会</w:t>
      </w:r>
    </w:p>
    <w:p>
      <w:pPr>
        <w:pStyle w:val="2"/>
        <w:widowControl/>
      </w:pPr>
      <w:r>
        <w:t>地址：四川省广元市利州区莲花路197号</w:t>
      </w:r>
    </w:p>
    <w:p>
      <w:pPr>
        <w:pStyle w:val="2"/>
        <w:widowControl/>
        <w:rPr>
          <w:rFonts w:hint="eastAsia" w:eastAsia="宋体"/>
          <w:color w:val="000000"/>
          <w:lang w:eastAsia="zh-CN"/>
        </w:rPr>
      </w:pPr>
      <w:r>
        <w:rPr>
          <w:color w:val="000000"/>
        </w:rPr>
        <w:t>联系人：</w:t>
      </w:r>
      <w:r>
        <w:rPr>
          <w:rFonts w:hint="eastAsia"/>
          <w:color w:val="000000"/>
          <w:lang w:eastAsia="zh-CN"/>
        </w:rPr>
        <w:t>向秋忆</w:t>
      </w:r>
    </w:p>
    <w:p>
      <w:pPr>
        <w:pStyle w:val="2"/>
        <w:widowControl/>
        <w:rPr>
          <w:color w:val="000000"/>
        </w:rPr>
      </w:pPr>
      <w:r>
        <w:rPr>
          <w:color w:val="000000"/>
        </w:rPr>
        <w:t>联系电话：0839—3262322</w:t>
      </w:r>
    </w:p>
    <w:p>
      <w:pPr>
        <w:spacing w:before="154" w:line="224" w:lineRule="auto"/>
        <w:ind w:left="2854"/>
        <w:rPr>
          <w:rFonts w:ascii="宋体" w:hAnsi="宋体" w:eastAsia="宋体" w:cs="宋体"/>
          <w:snapToGrid w:val="0"/>
          <w:color w:val="000000"/>
          <w:spacing w:val="7"/>
          <w:kern w:val="0"/>
          <w:sz w:val="23"/>
          <w:szCs w:val="23"/>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pStyle w:val="2"/>
      </w:pPr>
    </w:p>
    <w:p>
      <w:pPr>
        <w:spacing w:before="154" w:line="224" w:lineRule="auto"/>
        <w:ind w:left="2854"/>
        <w:rPr>
          <w:rFonts w:ascii="宋体" w:hAnsi="宋体" w:eastAsia="宋体" w:cs="宋体"/>
          <w:spacing w:val="11"/>
          <w:sz w:val="31"/>
          <w:szCs w:val="31"/>
          <w14:textOutline w14:w="5793" w14:cap="sq" w14:cmpd="sng">
            <w14:solidFill>
              <w14:srgbClr w14:val="000000"/>
            </w14:solidFill>
            <w14:prstDash w14:val="solid"/>
            <w14:bevel/>
          </w14:textOutline>
        </w:rPr>
      </w:pPr>
    </w:p>
    <w:p>
      <w:pPr>
        <w:pStyle w:val="31"/>
        <w:widowControl/>
        <w:numPr>
          <w:ilvl w:val="0"/>
          <w:numId w:val="1"/>
        </w:numPr>
        <w:ind w:left="0" w:leftChars="0" w:firstLine="0" w:firstLineChars="0"/>
        <w:outlineLvl w:val="0"/>
        <w:rPr>
          <w:b w:val="0"/>
        </w:rPr>
      </w:pPr>
      <w:bookmarkStart w:id="15" w:name="_Toc3455"/>
      <w:r>
        <w:t>供应商磋商须知</w:t>
      </w:r>
      <w:bookmarkEnd w:id="15"/>
    </w:p>
    <w:p>
      <w:pPr>
        <w:pStyle w:val="4"/>
        <w:widowControl/>
        <w:numPr>
          <w:ilvl w:val="0"/>
          <w:numId w:val="8"/>
        </w:numPr>
        <w:topLinePunct w:val="0"/>
        <w:ind w:left="0" w:leftChars="0" w:firstLine="0" w:firstLineChars="0"/>
        <w:rPr>
          <w:b/>
        </w:rPr>
      </w:pPr>
      <w:bookmarkStart w:id="16" w:name="_Toc6769"/>
      <w:r>
        <w:t>供应商磋商须知附表</w:t>
      </w:r>
      <w:bookmarkEnd w:id="16"/>
    </w:p>
    <w:tbl>
      <w:tblPr>
        <w:tblStyle w:val="22"/>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5"/>
        <w:gridCol w:w="2303"/>
        <w:gridCol w:w="59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71" w:type="pct"/>
            <w:vAlign w:val="top"/>
          </w:tcPr>
          <w:p>
            <w:pPr>
              <w:spacing w:before="40" w:line="229" w:lineRule="auto"/>
              <w:ind w:left="20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序</w:t>
            </w:r>
            <w:r>
              <w:rPr>
                <w:rFonts w:ascii="宋体" w:hAnsi="宋体" w:eastAsia="宋体" w:cs="宋体"/>
                <w:spacing w:val="5"/>
                <w:sz w:val="23"/>
                <w:szCs w:val="23"/>
                <w14:textOutline w14:w="4358" w14:cap="sq" w14:cmpd="sng">
                  <w14:solidFill>
                    <w14:srgbClr w14:val="000000"/>
                  </w14:solidFill>
                  <w14:prstDash w14:val="solid"/>
                  <w14:bevel/>
                </w14:textOutline>
              </w:rPr>
              <w:t>号</w:t>
            </w:r>
          </w:p>
        </w:tc>
        <w:tc>
          <w:tcPr>
            <w:tcW w:w="1268" w:type="pct"/>
            <w:vAlign w:val="top"/>
          </w:tcPr>
          <w:p>
            <w:pPr>
              <w:spacing w:before="41" w:line="227" w:lineRule="auto"/>
              <w:ind w:left="70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条</w:t>
            </w:r>
            <w:r>
              <w:rPr>
                <w:rFonts w:ascii="宋体" w:hAnsi="宋体" w:eastAsia="宋体" w:cs="宋体"/>
                <w:spacing w:val="7"/>
                <w:sz w:val="23"/>
                <w:szCs w:val="23"/>
                <w14:textOutline w14:w="4358" w14:cap="sq" w14:cmpd="sng">
                  <w14:solidFill>
                    <w14:srgbClr w14:val="000000"/>
                  </w14:solidFill>
                  <w14:prstDash w14:val="solid"/>
                  <w14:bevel/>
                </w14:textOutline>
              </w:rPr>
              <w:t>款名称</w:t>
            </w:r>
          </w:p>
        </w:tc>
        <w:tc>
          <w:tcPr>
            <w:tcW w:w="3259" w:type="pct"/>
            <w:vAlign w:val="top"/>
          </w:tcPr>
          <w:p>
            <w:pPr>
              <w:spacing w:before="41" w:line="227" w:lineRule="auto"/>
              <w:ind w:left="2633"/>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说</w:t>
            </w:r>
            <w:r>
              <w:rPr>
                <w:rFonts w:ascii="宋体" w:hAnsi="宋体" w:eastAsia="宋体" w:cs="宋体"/>
                <w:spacing w:val="8"/>
                <w:sz w:val="23"/>
                <w:szCs w:val="23"/>
                <w14:textOutline w14:w="4358" w14:cap="sq" w14:cmpd="sng">
                  <w14:solidFill>
                    <w14:srgbClr w14:val="000000"/>
                  </w14:solidFill>
                  <w14:prstDash w14:val="solid"/>
                  <w14:bevel/>
                </w14:textOutline>
              </w:rPr>
              <w:t>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71" w:type="pct"/>
            <w:vAlign w:val="top"/>
          </w:tcPr>
          <w:p>
            <w:pPr>
              <w:spacing w:before="308" w:line="192" w:lineRule="auto"/>
              <w:ind w:left="403"/>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1268" w:type="pct"/>
            <w:vAlign w:val="top"/>
          </w:tcPr>
          <w:p>
            <w:pPr>
              <w:spacing w:before="114" w:line="468" w:lineRule="exact"/>
              <w:ind w:left="226"/>
              <w:rPr>
                <w:rFonts w:ascii="宋体" w:hAnsi="宋体" w:eastAsia="宋体" w:cs="宋体"/>
                <w:sz w:val="23"/>
                <w:szCs w:val="23"/>
              </w:rPr>
            </w:pPr>
            <w:r>
              <w:rPr>
                <w:rFonts w:ascii="宋体" w:hAnsi="宋体" w:eastAsia="宋体" w:cs="宋体"/>
                <w:spacing w:val="9"/>
                <w:position w:val="17"/>
                <w:sz w:val="23"/>
                <w:szCs w:val="23"/>
              </w:rPr>
              <w:t>确定邀请磋商的</w:t>
            </w:r>
            <w:r>
              <w:rPr>
                <w:rFonts w:ascii="宋体" w:hAnsi="宋体" w:eastAsia="宋体" w:cs="宋体"/>
                <w:spacing w:val="7"/>
                <w:position w:val="17"/>
                <w:sz w:val="23"/>
                <w:szCs w:val="23"/>
              </w:rPr>
              <w:t>供</w:t>
            </w:r>
          </w:p>
          <w:p>
            <w:pPr>
              <w:spacing w:line="227" w:lineRule="auto"/>
              <w:ind w:left="346"/>
              <w:rPr>
                <w:rFonts w:ascii="宋体" w:hAnsi="宋体" w:eastAsia="宋体" w:cs="宋体"/>
                <w:sz w:val="23"/>
                <w:szCs w:val="23"/>
              </w:rPr>
            </w:pPr>
            <w:r>
              <w:rPr>
                <w:rFonts w:ascii="宋体" w:hAnsi="宋体" w:eastAsia="宋体" w:cs="宋体"/>
                <w:spacing w:val="12"/>
                <w:sz w:val="23"/>
                <w:szCs w:val="23"/>
              </w:rPr>
              <w:t>应</w:t>
            </w:r>
            <w:r>
              <w:rPr>
                <w:rFonts w:ascii="宋体" w:hAnsi="宋体" w:eastAsia="宋体" w:cs="宋体"/>
                <w:spacing w:val="8"/>
                <w:sz w:val="23"/>
                <w:szCs w:val="23"/>
              </w:rPr>
              <w:t>商数量和方式</w:t>
            </w:r>
          </w:p>
        </w:tc>
        <w:tc>
          <w:tcPr>
            <w:tcW w:w="3259" w:type="pct"/>
            <w:vAlign w:val="top"/>
          </w:tcPr>
          <w:p>
            <w:pPr>
              <w:spacing w:before="37" w:line="465" w:lineRule="exact"/>
              <w:ind w:left="116"/>
              <w:rPr>
                <w:rFonts w:ascii="宋体" w:hAnsi="宋体" w:eastAsia="宋体" w:cs="宋体"/>
                <w:sz w:val="23"/>
                <w:szCs w:val="23"/>
              </w:rPr>
            </w:pPr>
            <w:r>
              <w:rPr>
                <w:rFonts w:ascii="宋体" w:hAnsi="宋体" w:eastAsia="宋体" w:cs="宋体"/>
                <w:spacing w:val="6"/>
                <w:position w:val="17"/>
                <w:sz w:val="23"/>
                <w:szCs w:val="23"/>
              </w:rPr>
              <w:t>本次采购采取在“</w:t>
            </w:r>
            <w:r>
              <w:rPr>
                <w:rFonts w:hint="eastAsia" w:ascii="宋体" w:hAnsi="宋体" w:eastAsia="宋体" w:cs="宋体"/>
                <w:spacing w:val="6"/>
                <w:position w:val="17"/>
                <w:sz w:val="23"/>
                <w:szCs w:val="23"/>
                <w:lang w:val="en-US" w:eastAsia="zh-CN"/>
              </w:rPr>
              <w:t>广元市科学技术协会</w:t>
            </w:r>
            <w:r>
              <w:rPr>
                <w:rFonts w:hint="eastAsia" w:ascii="宋体" w:hAnsi="宋体" w:eastAsia="宋体" w:cs="宋体"/>
                <w:spacing w:val="6"/>
                <w:position w:val="17"/>
                <w:sz w:val="23"/>
                <w:szCs w:val="23"/>
              </w:rPr>
              <w:t>http://www.gyskx.gov.cn/htm/index.htm</w:t>
            </w:r>
            <w:r>
              <w:rPr>
                <w:rFonts w:ascii="宋体" w:hAnsi="宋体" w:eastAsia="宋体" w:cs="宋体"/>
                <w:spacing w:val="6"/>
                <w:position w:val="17"/>
                <w:sz w:val="23"/>
                <w:szCs w:val="23"/>
              </w:rPr>
              <w:t>”上发布公告的方式邀请不少于三家参加磋商的供应商。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1" w:type="pct"/>
            <w:vAlign w:val="top"/>
          </w:tcPr>
          <w:p>
            <w:pPr>
              <w:spacing w:before="73" w:line="192" w:lineRule="auto"/>
              <w:ind w:left="389"/>
              <w:rPr>
                <w:rFonts w:ascii="宋体" w:hAnsi="宋体" w:eastAsia="宋体" w:cs="宋体"/>
                <w:sz w:val="23"/>
                <w:szCs w:val="23"/>
              </w:rPr>
            </w:pPr>
            <w:r>
              <w:rPr>
                <w:rFonts w:ascii="宋体" w:hAnsi="宋体" w:eastAsia="宋体" w:cs="宋体"/>
                <w:sz w:val="23"/>
                <w:szCs w:val="23"/>
              </w:rPr>
              <w:t>2</w:t>
            </w:r>
          </w:p>
        </w:tc>
        <w:tc>
          <w:tcPr>
            <w:tcW w:w="1268" w:type="pct"/>
            <w:vAlign w:val="top"/>
          </w:tcPr>
          <w:p>
            <w:pPr>
              <w:spacing w:before="35" w:line="227" w:lineRule="auto"/>
              <w:ind w:left="825"/>
              <w:rPr>
                <w:rFonts w:ascii="宋体" w:hAnsi="宋体" w:eastAsia="宋体" w:cs="宋体"/>
                <w:sz w:val="23"/>
                <w:szCs w:val="23"/>
              </w:rPr>
            </w:pPr>
            <w:r>
              <w:rPr>
                <w:rFonts w:ascii="宋体" w:hAnsi="宋体" w:eastAsia="宋体" w:cs="宋体"/>
                <w:spacing w:val="7"/>
                <w:sz w:val="23"/>
                <w:szCs w:val="23"/>
              </w:rPr>
              <w:t>采购人</w:t>
            </w:r>
          </w:p>
        </w:tc>
        <w:tc>
          <w:tcPr>
            <w:tcW w:w="3259" w:type="pct"/>
            <w:vAlign w:val="top"/>
          </w:tcPr>
          <w:p>
            <w:pPr>
              <w:spacing w:before="35" w:line="227" w:lineRule="auto"/>
              <w:ind w:left="115"/>
              <w:rPr>
                <w:rFonts w:hint="eastAsia" w:ascii="宋体" w:hAnsi="宋体" w:eastAsia="宋体" w:cs="宋体"/>
                <w:sz w:val="23"/>
                <w:szCs w:val="23"/>
                <w:lang w:eastAsia="zh-CN"/>
              </w:rPr>
            </w:pPr>
            <w:r>
              <w:rPr>
                <w:rFonts w:hint="eastAsia" w:ascii="宋体" w:hAnsi="宋体" w:eastAsia="宋体" w:cs="宋体"/>
                <w:spacing w:val="10"/>
                <w:sz w:val="23"/>
                <w:szCs w:val="23"/>
                <w:lang w:eastAsia="zh-CN"/>
              </w:rPr>
              <w:t>广元市科学技术协会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71" w:type="pct"/>
            <w:vAlign w:val="top"/>
          </w:tcPr>
          <w:p>
            <w:pPr>
              <w:spacing w:before="307" w:line="192" w:lineRule="auto"/>
              <w:ind w:left="385"/>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268" w:type="pct"/>
            <w:vAlign w:val="top"/>
          </w:tcPr>
          <w:p>
            <w:pPr>
              <w:spacing w:before="269" w:line="227" w:lineRule="auto"/>
              <w:ind w:left="465"/>
              <w:rPr>
                <w:rFonts w:ascii="宋体" w:hAnsi="宋体" w:eastAsia="宋体" w:cs="宋体"/>
                <w:sz w:val="23"/>
                <w:szCs w:val="23"/>
              </w:rPr>
            </w:pPr>
            <w:r>
              <w:rPr>
                <w:rFonts w:ascii="宋体" w:hAnsi="宋体" w:eastAsia="宋体" w:cs="宋体"/>
                <w:spacing w:val="11"/>
                <w:sz w:val="23"/>
                <w:szCs w:val="23"/>
              </w:rPr>
              <w:t>采</w:t>
            </w:r>
            <w:r>
              <w:rPr>
                <w:rFonts w:ascii="宋体" w:hAnsi="宋体" w:eastAsia="宋体" w:cs="宋体"/>
                <w:spacing w:val="8"/>
                <w:sz w:val="23"/>
                <w:szCs w:val="23"/>
              </w:rPr>
              <w:t>购项目名称</w:t>
            </w:r>
          </w:p>
        </w:tc>
        <w:tc>
          <w:tcPr>
            <w:tcW w:w="3259" w:type="pct"/>
            <w:vAlign w:val="top"/>
          </w:tcPr>
          <w:p>
            <w:pPr>
              <w:spacing w:line="228" w:lineRule="auto"/>
              <w:ind w:left="117"/>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2025年度广元市天府科技云高质量发展第三方服务</w:t>
            </w:r>
          </w:p>
          <w:p>
            <w:pPr>
              <w:spacing w:line="228" w:lineRule="auto"/>
              <w:ind w:left="117"/>
              <w:rPr>
                <w:rFonts w:ascii="宋体" w:hAnsi="宋体" w:eastAsia="宋体" w:cs="宋体"/>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1" w:type="pct"/>
            <w:vAlign w:val="top"/>
          </w:tcPr>
          <w:p>
            <w:pPr>
              <w:spacing w:before="77" w:line="189" w:lineRule="auto"/>
              <w:ind w:left="390"/>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1268" w:type="pct"/>
            <w:vAlign w:val="top"/>
          </w:tcPr>
          <w:p>
            <w:pPr>
              <w:spacing w:before="38" w:line="227" w:lineRule="auto"/>
              <w:ind w:left="465"/>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商文件编号</w:t>
            </w:r>
          </w:p>
        </w:tc>
        <w:tc>
          <w:tcPr>
            <w:tcW w:w="3259" w:type="pct"/>
            <w:vAlign w:val="top"/>
          </w:tcPr>
          <w:p>
            <w:pPr>
              <w:spacing w:before="75" w:line="212" w:lineRule="auto"/>
              <w:ind w:left="114"/>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GKXCS2025-01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71" w:type="pct"/>
            <w:vAlign w:val="top"/>
          </w:tcPr>
          <w:p>
            <w:pPr>
              <w:spacing w:line="310" w:lineRule="auto"/>
              <w:rPr>
                <w:rFonts w:ascii="Arial"/>
                <w:sz w:val="21"/>
              </w:rPr>
            </w:pPr>
          </w:p>
          <w:p>
            <w:pPr>
              <w:spacing w:before="74" w:line="190" w:lineRule="auto"/>
              <w:ind w:left="388"/>
              <w:outlineLvl w:val="2"/>
              <w:rPr>
                <w:rFonts w:hint="eastAsia" w:ascii="宋体" w:hAnsi="宋体" w:eastAsia="宋体" w:cs="宋体"/>
                <w:sz w:val="23"/>
                <w:szCs w:val="23"/>
                <w:lang w:eastAsia="zh-CN"/>
              </w:rPr>
            </w:pPr>
            <w:r>
              <w:rPr>
                <w:rFonts w:hint="eastAsia" w:ascii="宋体" w:hAnsi="宋体" w:eastAsia="宋体" w:cs="宋体"/>
                <w:sz w:val="23"/>
                <w:szCs w:val="23"/>
                <w:lang w:val="en-US" w:eastAsia="zh-CN"/>
              </w:rPr>
              <w:t>5</w:t>
            </w:r>
          </w:p>
        </w:tc>
        <w:tc>
          <w:tcPr>
            <w:tcW w:w="1268" w:type="pct"/>
            <w:vAlign w:val="top"/>
          </w:tcPr>
          <w:p>
            <w:pPr>
              <w:spacing w:line="272" w:lineRule="auto"/>
              <w:rPr>
                <w:rFonts w:ascii="Arial"/>
                <w:sz w:val="21"/>
              </w:rPr>
            </w:pPr>
          </w:p>
          <w:p>
            <w:pPr>
              <w:spacing w:before="75" w:line="227" w:lineRule="auto"/>
              <w:ind w:left="465"/>
              <w:outlineLvl w:val="2"/>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商文件编制</w:t>
            </w:r>
          </w:p>
        </w:tc>
        <w:tc>
          <w:tcPr>
            <w:tcW w:w="3259" w:type="pct"/>
            <w:vAlign w:val="top"/>
          </w:tcPr>
          <w:p>
            <w:pPr>
              <w:spacing w:before="183" w:line="227" w:lineRule="auto"/>
              <w:ind w:left="122"/>
              <w:rPr>
                <w:rFonts w:ascii="宋体" w:hAnsi="宋体" w:eastAsia="宋体" w:cs="宋体"/>
                <w:sz w:val="23"/>
                <w:szCs w:val="23"/>
              </w:rPr>
            </w:pPr>
            <w:r>
              <w:rPr>
                <w:rFonts w:ascii="宋体" w:hAnsi="宋体" w:eastAsia="宋体" w:cs="宋体"/>
                <w:spacing w:val="16"/>
                <w:sz w:val="23"/>
                <w:szCs w:val="23"/>
              </w:rPr>
              <w:t>由</w:t>
            </w:r>
            <w:r>
              <w:rPr>
                <w:rFonts w:hint="eastAsia" w:ascii="宋体" w:hAnsi="宋体" w:eastAsia="宋体" w:cs="宋体"/>
                <w:spacing w:val="13"/>
                <w:sz w:val="23"/>
                <w:szCs w:val="23"/>
                <w:lang w:eastAsia="zh-CN"/>
              </w:rPr>
              <w:t>广元市科学技术协会</w:t>
            </w:r>
            <w:r>
              <w:rPr>
                <w:rFonts w:ascii="宋体" w:hAnsi="宋体" w:eastAsia="宋体" w:cs="宋体"/>
                <w:spacing w:val="6"/>
                <w:sz w:val="23"/>
                <w:szCs w:val="23"/>
              </w:rPr>
              <w:t>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1" w:type="pct"/>
            <w:vMerge w:val="restart"/>
            <w:tcBorders>
              <w:bottom w:val="nil"/>
            </w:tcBorders>
            <w:vAlign w:val="top"/>
          </w:tcPr>
          <w:p>
            <w:pPr>
              <w:spacing w:line="352" w:lineRule="auto"/>
              <w:rPr>
                <w:rFonts w:ascii="Arial"/>
                <w:sz w:val="21"/>
              </w:rPr>
            </w:pPr>
          </w:p>
          <w:p>
            <w:pPr>
              <w:spacing w:line="352" w:lineRule="auto"/>
              <w:rPr>
                <w:rFonts w:ascii="Arial"/>
                <w:sz w:val="21"/>
              </w:rPr>
            </w:pPr>
          </w:p>
          <w:p>
            <w:pPr>
              <w:spacing w:before="74" w:line="189" w:lineRule="auto"/>
              <w:ind w:left="391"/>
              <w:rPr>
                <w:rFonts w:hint="eastAsia" w:ascii="宋体" w:hAnsi="宋体" w:eastAsia="宋体" w:cs="宋体"/>
                <w:sz w:val="23"/>
                <w:szCs w:val="23"/>
                <w:lang w:eastAsia="zh-CN"/>
              </w:rPr>
            </w:pPr>
            <w:r>
              <w:rPr>
                <w:rFonts w:hint="eastAsia" w:ascii="宋体" w:hAnsi="宋体" w:eastAsia="宋体" w:cs="宋体"/>
                <w:sz w:val="23"/>
                <w:szCs w:val="23"/>
                <w:lang w:val="en-US" w:eastAsia="zh-CN"/>
              </w:rPr>
              <w:t>6</w:t>
            </w:r>
          </w:p>
        </w:tc>
        <w:tc>
          <w:tcPr>
            <w:tcW w:w="1268" w:type="pct"/>
            <w:vAlign w:val="top"/>
          </w:tcPr>
          <w:p>
            <w:pPr>
              <w:spacing w:before="38" w:line="465" w:lineRule="exact"/>
              <w:ind w:left="705"/>
              <w:rPr>
                <w:rFonts w:ascii="宋体" w:hAnsi="宋体" w:eastAsia="宋体" w:cs="宋体"/>
                <w:sz w:val="23"/>
                <w:szCs w:val="23"/>
              </w:rPr>
            </w:pPr>
            <w:r>
              <w:rPr>
                <w:rFonts w:ascii="宋体" w:hAnsi="宋体" w:eastAsia="宋体" w:cs="宋体"/>
                <w:spacing w:val="8"/>
                <w:position w:val="17"/>
                <w:sz w:val="23"/>
                <w:szCs w:val="23"/>
              </w:rPr>
              <w:t>采购预</w:t>
            </w:r>
            <w:r>
              <w:rPr>
                <w:rFonts w:ascii="宋体" w:hAnsi="宋体" w:eastAsia="宋体" w:cs="宋体"/>
                <w:spacing w:val="7"/>
                <w:position w:val="17"/>
                <w:sz w:val="23"/>
                <w:szCs w:val="23"/>
              </w:rPr>
              <w:t>算</w:t>
            </w:r>
          </w:p>
          <w:p>
            <w:pPr>
              <w:spacing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3259" w:type="pct"/>
            <w:vAlign w:val="top"/>
          </w:tcPr>
          <w:p>
            <w:pPr>
              <w:spacing w:before="271" w:line="228" w:lineRule="auto"/>
              <w:ind w:left="116"/>
              <w:rPr>
                <w:rFonts w:ascii="宋体" w:hAnsi="宋体" w:eastAsia="宋体" w:cs="宋体"/>
                <w:sz w:val="23"/>
                <w:szCs w:val="23"/>
              </w:rPr>
            </w:pPr>
            <w:r>
              <w:rPr>
                <w:rFonts w:hint="eastAsia" w:ascii="宋体" w:hAnsi="宋体" w:eastAsia="宋体" w:cs="宋体"/>
                <w:color w:val="auto"/>
                <w:spacing w:val="8"/>
                <w:sz w:val="23"/>
                <w:szCs w:val="23"/>
                <w:shd w:val="clear"/>
                <w:lang w:val="en-US" w:eastAsia="zh-CN"/>
              </w:rPr>
              <w:t>20</w:t>
            </w:r>
            <w:r>
              <w:rPr>
                <w:rFonts w:ascii="宋体" w:hAnsi="宋体" w:eastAsia="宋体" w:cs="宋体"/>
                <w:color w:val="auto"/>
                <w:spacing w:val="4"/>
                <w:sz w:val="23"/>
                <w:szCs w:val="23"/>
                <w:shd w:val="clear"/>
              </w:rPr>
              <w:t>万元；超过采购预算的报价无效。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471" w:type="pct"/>
            <w:vMerge w:val="continue"/>
            <w:tcBorders>
              <w:top w:val="nil"/>
            </w:tcBorders>
            <w:vAlign w:val="top"/>
          </w:tcPr>
          <w:p>
            <w:pPr>
              <w:rPr>
                <w:rFonts w:ascii="Arial"/>
                <w:sz w:val="21"/>
              </w:rPr>
            </w:pPr>
          </w:p>
        </w:tc>
        <w:tc>
          <w:tcPr>
            <w:tcW w:w="1268" w:type="pct"/>
            <w:vAlign w:val="top"/>
          </w:tcPr>
          <w:p>
            <w:pPr>
              <w:spacing w:before="38" w:line="466" w:lineRule="exact"/>
              <w:ind w:left="709"/>
              <w:rPr>
                <w:rFonts w:ascii="宋体" w:hAnsi="宋体" w:eastAsia="宋体" w:cs="宋体"/>
                <w:sz w:val="23"/>
                <w:szCs w:val="23"/>
              </w:rPr>
            </w:pPr>
            <w:r>
              <w:rPr>
                <w:rFonts w:ascii="宋体" w:hAnsi="宋体" w:eastAsia="宋体" w:cs="宋体"/>
                <w:spacing w:val="7"/>
                <w:position w:val="17"/>
                <w:sz w:val="23"/>
                <w:szCs w:val="23"/>
              </w:rPr>
              <w:t>最高限</w:t>
            </w:r>
            <w:r>
              <w:rPr>
                <w:rFonts w:ascii="宋体" w:hAnsi="宋体" w:eastAsia="宋体" w:cs="宋体"/>
                <w:spacing w:val="6"/>
                <w:position w:val="17"/>
                <w:sz w:val="23"/>
                <w:szCs w:val="23"/>
              </w:rPr>
              <w:t>价</w:t>
            </w:r>
          </w:p>
          <w:p>
            <w:pPr>
              <w:spacing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3259" w:type="pct"/>
            <w:vAlign w:val="top"/>
          </w:tcPr>
          <w:p>
            <w:pPr>
              <w:spacing w:before="271" w:line="228" w:lineRule="auto"/>
              <w:ind w:left="116"/>
              <w:rPr>
                <w:rFonts w:ascii="宋体" w:hAnsi="宋体" w:eastAsia="宋体" w:cs="宋体"/>
                <w:sz w:val="23"/>
                <w:szCs w:val="23"/>
              </w:rPr>
            </w:pPr>
            <w:r>
              <w:rPr>
                <w:rFonts w:hint="eastAsia" w:ascii="宋体" w:hAnsi="宋体" w:eastAsia="宋体" w:cs="宋体"/>
                <w:color w:val="auto"/>
                <w:spacing w:val="8"/>
                <w:sz w:val="23"/>
                <w:szCs w:val="23"/>
                <w:lang w:val="en-US" w:eastAsia="zh-CN"/>
              </w:rPr>
              <w:t>20</w:t>
            </w:r>
            <w:r>
              <w:rPr>
                <w:rFonts w:ascii="宋体" w:hAnsi="宋体" w:eastAsia="宋体" w:cs="宋体"/>
                <w:color w:val="auto"/>
                <w:spacing w:val="4"/>
                <w:sz w:val="23"/>
                <w:szCs w:val="23"/>
              </w:rPr>
              <w:t>万元；超过最高限价的报价无效。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71" w:type="pct"/>
            <w:vAlign w:val="top"/>
          </w:tcPr>
          <w:p>
            <w:pPr>
              <w:spacing w:before="75" w:line="190" w:lineRule="auto"/>
              <w:ind w:left="387"/>
              <w:rPr>
                <w:rFonts w:hint="eastAsia" w:ascii="宋体" w:hAnsi="宋体" w:eastAsia="宋体" w:cs="宋体"/>
                <w:sz w:val="23"/>
                <w:szCs w:val="23"/>
                <w:lang w:eastAsia="zh-CN"/>
              </w:rPr>
            </w:pPr>
            <w:r>
              <w:rPr>
                <w:rFonts w:hint="eastAsia" w:ascii="宋体" w:hAnsi="宋体" w:eastAsia="宋体" w:cs="宋体"/>
                <w:sz w:val="23"/>
                <w:szCs w:val="23"/>
                <w:lang w:val="en-US" w:eastAsia="zh-CN"/>
              </w:rPr>
              <w:t>7</w:t>
            </w:r>
          </w:p>
        </w:tc>
        <w:tc>
          <w:tcPr>
            <w:tcW w:w="1268" w:type="pct"/>
            <w:vAlign w:val="top"/>
          </w:tcPr>
          <w:p>
            <w:pPr>
              <w:spacing w:before="37" w:line="227" w:lineRule="auto"/>
              <w:ind w:left="705"/>
              <w:rPr>
                <w:rFonts w:ascii="宋体" w:hAnsi="宋体" w:eastAsia="宋体" w:cs="宋体"/>
                <w:sz w:val="23"/>
                <w:szCs w:val="23"/>
              </w:rPr>
            </w:pPr>
            <w:r>
              <w:rPr>
                <w:rFonts w:ascii="宋体" w:hAnsi="宋体" w:eastAsia="宋体" w:cs="宋体"/>
                <w:spacing w:val="8"/>
                <w:sz w:val="23"/>
                <w:szCs w:val="23"/>
              </w:rPr>
              <w:t>采购方</w:t>
            </w:r>
            <w:r>
              <w:rPr>
                <w:rFonts w:ascii="宋体" w:hAnsi="宋体" w:eastAsia="宋体" w:cs="宋体"/>
                <w:spacing w:val="7"/>
                <w:sz w:val="23"/>
                <w:szCs w:val="23"/>
              </w:rPr>
              <w:t>式</w:t>
            </w:r>
          </w:p>
        </w:tc>
        <w:tc>
          <w:tcPr>
            <w:tcW w:w="3259" w:type="pct"/>
            <w:vAlign w:val="top"/>
          </w:tcPr>
          <w:p>
            <w:pPr>
              <w:spacing w:before="38" w:line="227" w:lineRule="auto"/>
              <w:ind w:left="116"/>
              <w:rPr>
                <w:rFonts w:ascii="宋体" w:hAnsi="宋体" w:eastAsia="宋体" w:cs="宋体"/>
                <w:sz w:val="23"/>
                <w:szCs w:val="23"/>
              </w:rPr>
            </w:pPr>
            <w:r>
              <w:rPr>
                <w:rFonts w:ascii="宋体" w:hAnsi="宋体" w:eastAsia="宋体" w:cs="宋体"/>
                <w:spacing w:val="9"/>
                <w:sz w:val="23"/>
                <w:szCs w:val="23"/>
              </w:rPr>
              <w:t>竞</w:t>
            </w:r>
            <w:r>
              <w:rPr>
                <w:rFonts w:ascii="宋体" w:hAnsi="宋体" w:eastAsia="宋体" w:cs="宋体"/>
                <w:spacing w:val="7"/>
                <w:sz w:val="23"/>
                <w:szCs w:val="23"/>
              </w:rPr>
              <w:t>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71" w:type="pct"/>
            <w:vAlign w:val="top"/>
          </w:tcPr>
          <w:p>
            <w:pPr>
              <w:spacing w:before="77" w:line="190" w:lineRule="auto"/>
              <w:ind w:left="387"/>
              <w:rPr>
                <w:rFonts w:hint="eastAsia" w:ascii="宋体" w:hAnsi="宋体" w:eastAsia="宋体" w:cs="宋体"/>
                <w:sz w:val="23"/>
                <w:szCs w:val="23"/>
                <w:lang w:eastAsia="zh-CN"/>
              </w:rPr>
            </w:pPr>
            <w:r>
              <w:rPr>
                <w:rFonts w:hint="eastAsia" w:ascii="宋体" w:hAnsi="宋体" w:eastAsia="宋体" w:cs="宋体"/>
                <w:sz w:val="23"/>
                <w:szCs w:val="23"/>
                <w:lang w:val="en-US" w:eastAsia="zh-CN"/>
              </w:rPr>
              <w:t>8</w:t>
            </w:r>
          </w:p>
        </w:tc>
        <w:tc>
          <w:tcPr>
            <w:tcW w:w="1268" w:type="pct"/>
            <w:vAlign w:val="top"/>
          </w:tcPr>
          <w:p>
            <w:pPr>
              <w:spacing w:before="39" w:line="228" w:lineRule="auto"/>
              <w:ind w:left="705"/>
              <w:rPr>
                <w:rFonts w:ascii="宋体" w:hAnsi="宋体" w:eastAsia="宋体" w:cs="宋体"/>
                <w:sz w:val="23"/>
                <w:szCs w:val="23"/>
              </w:rPr>
            </w:pPr>
            <w:r>
              <w:rPr>
                <w:rFonts w:ascii="宋体" w:hAnsi="宋体" w:eastAsia="宋体" w:cs="宋体"/>
                <w:spacing w:val="8"/>
                <w:sz w:val="23"/>
                <w:szCs w:val="23"/>
              </w:rPr>
              <w:t>评审方</w:t>
            </w:r>
            <w:r>
              <w:rPr>
                <w:rFonts w:ascii="宋体" w:hAnsi="宋体" w:eastAsia="宋体" w:cs="宋体"/>
                <w:spacing w:val="7"/>
                <w:sz w:val="23"/>
                <w:szCs w:val="23"/>
              </w:rPr>
              <w:t>法</w:t>
            </w:r>
          </w:p>
        </w:tc>
        <w:tc>
          <w:tcPr>
            <w:tcW w:w="3259" w:type="pct"/>
            <w:vAlign w:val="top"/>
          </w:tcPr>
          <w:p>
            <w:pPr>
              <w:spacing w:before="39" w:line="228" w:lineRule="auto"/>
              <w:ind w:left="116"/>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471" w:type="pct"/>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5" w:line="191" w:lineRule="auto"/>
              <w:ind w:left="343"/>
              <w:rPr>
                <w:rFonts w:hint="eastAsia" w:ascii="宋体" w:hAnsi="宋体" w:eastAsia="宋体" w:cs="宋体"/>
                <w:sz w:val="23"/>
                <w:szCs w:val="23"/>
                <w:lang w:eastAsia="zh-CN"/>
              </w:rPr>
            </w:pPr>
            <w:r>
              <w:rPr>
                <w:rFonts w:hint="eastAsia" w:ascii="宋体" w:hAnsi="宋体" w:eastAsia="宋体" w:cs="宋体"/>
                <w:spacing w:val="-10"/>
                <w:sz w:val="23"/>
                <w:szCs w:val="23"/>
                <w:lang w:val="en-US" w:eastAsia="zh-CN"/>
              </w:rPr>
              <w:t>9</w:t>
            </w:r>
          </w:p>
        </w:tc>
        <w:tc>
          <w:tcPr>
            <w:tcW w:w="1268" w:type="pct"/>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75" w:line="226" w:lineRule="auto"/>
              <w:ind w:left="585"/>
              <w:rPr>
                <w:rFonts w:ascii="宋体" w:hAnsi="宋体" w:eastAsia="宋体" w:cs="宋体"/>
                <w:sz w:val="23"/>
                <w:szCs w:val="23"/>
              </w:rPr>
            </w:pPr>
            <w:r>
              <w:rPr>
                <w:rFonts w:ascii="宋体" w:hAnsi="宋体" w:eastAsia="宋体" w:cs="宋体"/>
                <w:spacing w:val="9"/>
                <w:sz w:val="23"/>
                <w:szCs w:val="23"/>
              </w:rPr>
              <w:t>低</w:t>
            </w:r>
            <w:r>
              <w:rPr>
                <w:rFonts w:ascii="宋体" w:hAnsi="宋体" w:eastAsia="宋体" w:cs="宋体"/>
                <w:spacing w:val="8"/>
                <w:sz w:val="23"/>
                <w:szCs w:val="23"/>
              </w:rPr>
              <w:t>于成本价</w:t>
            </w:r>
          </w:p>
          <w:p>
            <w:pPr>
              <w:spacing w:before="186" w:line="227" w:lineRule="auto"/>
              <w:ind w:left="230"/>
              <w:rPr>
                <w:rFonts w:ascii="宋体" w:hAnsi="宋体" w:eastAsia="宋体" w:cs="宋体"/>
                <w:sz w:val="23"/>
                <w:szCs w:val="23"/>
              </w:rPr>
            </w:pPr>
            <w:r>
              <w:rPr>
                <w:rFonts w:ascii="宋体" w:hAnsi="宋体" w:eastAsia="宋体" w:cs="宋体"/>
                <w:spacing w:val="10"/>
                <w:sz w:val="23"/>
                <w:szCs w:val="23"/>
              </w:rPr>
              <w:t>不</w:t>
            </w:r>
            <w:r>
              <w:rPr>
                <w:rFonts w:ascii="宋体" w:hAnsi="宋体" w:eastAsia="宋体" w:cs="宋体"/>
                <w:spacing w:val="8"/>
                <w:sz w:val="23"/>
                <w:szCs w:val="23"/>
              </w:rPr>
              <w:t>正当竞争预防措</w:t>
            </w:r>
          </w:p>
          <w:p>
            <w:pPr>
              <w:spacing w:before="185" w:line="230" w:lineRule="auto"/>
              <w:ind w:left="1065"/>
              <w:rPr>
                <w:rFonts w:ascii="宋体" w:hAnsi="宋体" w:eastAsia="宋体" w:cs="宋体"/>
                <w:sz w:val="23"/>
                <w:szCs w:val="23"/>
              </w:rPr>
            </w:pPr>
            <w:r>
              <w:rPr>
                <w:rFonts w:ascii="宋体" w:hAnsi="宋体" w:eastAsia="宋体" w:cs="宋体"/>
                <w:spacing w:val="1"/>
                <w:sz w:val="23"/>
                <w:szCs w:val="23"/>
              </w:rPr>
              <w:t>施</w:t>
            </w:r>
          </w:p>
          <w:p>
            <w:pPr>
              <w:spacing w:before="181" w:line="228" w:lineRule="auto"/>
              <w:ind w:left="357"/>
              <w:rPr>
                <w:rFonts w:ascii="宋体" w:hAnsi="宋体" w:eastAsia="宋体" w:cs="宋体"/>
                <w:sz w:val="23"/>
                <w:szCs w:val="23"/>
              </w:rPr>
            </w:pPr>
            <w:r>
              <w:rPr>
                <w:rFonts w:ascii="宋体" w:hAnsi="宋体" w:eastAsia="宋体" w:cs="宋体"/>
                <w:spacing w:val="22"/>
                <w:sz w:val="23"/>
                <w:szCs w:val="23"/>
              </w:rPr>
              <w:t>(实质性要求)</w:t>
            </w:r>
          </w:p>
        </w:tc>
        <w:tc>
          <w:tcPr>
            <w:tcW w:w="3259" w:type="pct"/>
            <w:vAlign w:val="top"/>
          </w:tcPr>
          <w:p>
            <w:pPr>
              <w:keepNext w:val="0"/>
              <w:keepLines w:val="0"/>
              <w:pageBreakBefore w:val="0"/>
              <w:widowControl/>
              <w:kinsoku w:val="0"/>
              <w:wordWrap/>
              <w:overflowPunct/>
              <w:topLinePunct w:val="0"/>
              <w:autoSpaceDE w:val="0"/>
              <w:autoSpaceDN w:val="0"/>
              <w:bidi w:val="0"/>
              <w:adjustRightInd w:val="0"/>
              <w:snapToGrid w:val="0"/>
              <w:spacing w:before="116" w:line="240" w:lineRule="auto"/>
              <w:ind w:left="112" w:right="108" w:firstLine="18"/>
              <w:textAlignment w:val="baseline"/>
              <w:rPr>
                <w:rFonts w:ascii="宋体" w:hAnsi="宋体" w:eastAsia="宋体" w:cs="宋体"/>
                <w:sz w:val="23"/>
                <w:szCs w:val="23"/>
              </w:rPr>
            </w:pPr>
            <w:r>
              <w:rPr>
                <w:rFonts w:ascii="宋体" w:hAnsi="宋体" w:eastAsia="宋体" w:cs="宋体"/>
                <w:spacing w:val="13"/>
                <w:sz w:val="23"/>
                <w:szCs w:val="23"/>
              </w:rPr>
              <w:t xml:space="preserve">1. </w:t>
            </w:r>
            <w:r>
              <w:rPr>
                <w:rFonts w:ascii="宋体" w:hAnsi="宋体" w:eastAsia="宋体" w:cs="宋体"/>
                <w:spacing w:val="9"/>
                <w:sz w:val="23"/>
                <w:szCs w:val="23"/>
              </w:rPr>
              <w:t>磋商小组</w:t>
            </w:r>
            <w:r>
              <w:rPr>
                <w:rFonts w:ascii="宋体" w:hAnsi="宋体" w:eastAsia="宋体" w:cs="宋体"/>
                <w:spacing w:val="13"/>
                <w:sz w:val="23"/>
                <w:szCs w:val="23"/>
              </w:rPr>
              <w:t>认为供应商的报价明显低于其他通过符合</w:t>
            </w:r>
            <w:r>
              <w:rPr>
                <w:rFonts w:ascii="宋体" w:hAnsi="宋体" w:eastAsia="宋体" w:cs="宋体"/>
                <w:spacing w:val="9"/>
                <w:sz w:val="23"/>
                <w:szCs w:val="23"/>
              </w:rPr>
              <w:t>性</w:t>
            </w:r>
            <w:r>
              <w:rPr>
                <w:rFonts w:ascii="宋体" w:hAnsi="宋体" w:eastAsia="宋体" w:cs="宋体"/>
                <w:spacing w:val="18"/>
                <w:sz w:val="23"/>
                <w:szCs w:val="23"/>
              </w:rPr>
              <w:t>审</w:t>
            </w:r>
            <w:r>
              <w:rPr>
                <w:rFonts w:ascii="宋体" w:hAnsi="宋体" w:eastAsia="宋体" w:cs="宋体"/>
                <w:spacing w:val="17"/>
                <w:sz w:val="23"/>
                <w:szCs w:val="23"/>
              </w:rPr>
              <w:t>查</w:t>
            </w:r>
            <w:r>
              <w:rPr>
                <w:rFonts w:ascii="宋体" w:hAnsi="宋体" w:eastAsia="宋体" w:cs="宋体"/>
                <w:spacing w:val="9"/>
                <w:sz w:val="23"/>
                <w:szCs w:val="23"/>
              </w:rPr>
              <w:t>供应商的报价，有可能影响产品质量或者不能诚信履约</w:t>
            </w:r>
            <w:r>
              <w:rPr>
                <w:rFonts w:ascii="宋体" w:hAnsi="宋体" w:eastAsia="宋体" w:cs="宋体"/>
                <w:spacing w:val="18"/>
                <w:sz w:val="23"/>
                <w:szCs w:val="23"/>
              </w:rPr>
              <w:t>的</w:t>
            </w:r>
            <w:r>
              <w:rPr>
                <w:rFonts w:ascii="宋体" w:hAnsi="宋体" w:eastAsia="宋体" w:cs="宋体"/>
                <w:spacing w:val="17"/>
                <w:sz w:val="23"/>
                <w:szCs w:val="23"/>
              </w:rPr>
              <w:t>，</w:t>
            </w:r>
            <w:r>
              <w:rPr>
                <w:rFonts w:ascii="宋体" w:hAnsi="宋体" w:eastAsia="宋体" w:cs="宋体"/>
                <w:spacing w:val="9"/>
                <w:sz w:val="23"/>
                <w:szCs w:val="23"/>
              </w:rPr>
              <w:t>应当要求其在评审现场合理的时间内提供书面说明，必</w:t>
            </w:r>
            <w:r>
              <w:rPr>
                <w:rFonts w:ascii="宋体" w:hAnsi="宋体" w:eastAsia="宋体" w:cs="宋体"/>
                <w:spacing w:val="18"/>
                <w:sz w:val="23"/>
                <w:szCs w:val="23"/>
              </w:rPr>
              <w:t>要</w:t>
            </w:r>
            <w:r>
              <w:rPr>
                <w:rFonts w:ascii="宋体" w:hAnsi="宋体" w:eastAsia="宋体" w:cs="宋体"/>
                <w:spacing w:val="17"/>
                <w:sz w:val="23"/>
                <w:szCs w:val="23"/>
              </w:rPr>
              <w:t>时</w:t>
            </w:r>
            <w:r>
              <w:rPr>
                <w:rFonts w:ascii="宋体" w:hAnsi="宋体" w:eastAsia="宋体" w:cs="宋体"/>
                <w:spacing w:val="9"/>
                <w:sz w:val="23"/>
                <w:szCs w:val="23"/>
              </w:rPr>
              <w:t>提交相关证明材料；供应商不能证明其报价合理性的</w:t>
            </w:r>
            <w:r>
              <w:rPr>
                <w:rFonts w:hint="eastAsia" w:ascii="宋体" w:hAnsi="宋体" w:eastAsia="宋体" w:cs="宋体"/>
                <w:spacing w:val="9"/>
                <w:sz w:val="23"/>
                <w:szCs w:val="23"/>
                <w:lang w:eastAsia="zh-CN"/>
              </w:rPr>
              <w:t>，</w:t>
            </w:r>
            <w:r>
              <w:rPr>
                <w:rFonts w:ascii="宋体" w:hAnsi="宋体" w:eastAsia="宋体" w:cs="宋体"/>
                <w:spacing w:val="9"/>
                <w:sz w:val="23"/>
                <w:szCs w:val="23"/>
              </w:rPr>
              <w:t>磋商小组应当将其作为无效响应处理</w:t>
            </w:r>
            <w:r>
              <w:rPr>
                <w:rFonts w:ascii="宋体" w:hAnsi="宋体" w:eastAsia="宋体" w:cs="宋体"/>
                <w:spacing w:val="8"/>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3" w:line="240" w:lineRule="auto"/>
              <w:ind w:left="112" w:right="27"/>
              <w:textAlignment w:val="baseline"/>
              <w:rPr>
                <w:rFonts w:ascii="宋体" w:hAnsi="宋体" w:eastAsia="宋体" w:cs="宋体"/>
                <w:sz w:val="23"/>
                <w:szCs w:val="23"/>
              </w:rPr>
            </w:pPr>
            <w:r>
              <w:rPr>
                <w:rFonts w:ascii="宋体" w:hAnsi="宋体" w:eastAsia="宋体" w:cs="宋体"/>
                <w:spacing w:val="18"/>
                <w:sz w:val="23"/>
                <w:szCs w:val="23"/>
              </w:rPr>
              <w:t>供</w:t>
            </w:r>
            <w:r>
              <w:rPr>
                <w:rFonts w:ascii="宋体" w:hAnsi="宋体" w:eastAsia="宋体" w:cs="宋体"/>
                <w:spacing w:val="16"/>
                <w:sz w:val="23"/>
                <w:szCs w:val="23"/>
              </w:rPr>
              <w:t>应</w:t>
            </w:r>
            <w:r>
              <w:rPr>
                <w:rFonts w:ascii="宋体" w:hAnsi="宋体" w:eastAsia="宋体" w:cs="宋体"/>
                <w:spacing w:val="9"/>
                <w:sz w:val="23"/>
                <w:szCs w:val="23"/>
              </w:rPr>
              <w:t>商的书面说明材料应当按照国家财务会计制度的规定要</w:t>
            </w:r>
            <w:r>
              <w:rPr>
                <w:rFonts w:ascii="宋体" w:hAnsi="宋体" w:eastAsia="宋体" w:cs="宋体"/>
                <w:spacing w:val="6"/>
                <w:sz w:val="23"/>
                <w:szCs w:val="23"/>
              </w:rPr>
              <w:t>求，逐项就供</w:t>
            </w:r>
            <w:r>
              <w:rPr>
                <w:rFonts w:ascii="宋体" w:hAnsi="宋体" w:eastAsia="宋体" w:cs="宋体"/>
                <w:spacing w:val="5"/>
                <w:sz w:val="23"/>
                <w:szCs w:val="23"/>
              </w:rPr>
              <w:t>应</w:t>
            </w:r>
            <w:r>
              <w:rPr>
                <w:rFonts w:ascii="宋体" w:hAnsi="宋体" w:eastAsia="宋体" w:cs="宋体"/>
                <w:spacing w:val="3"/>
                <w:sz w:val="23"/>
                <w:szCs w:val="23"/>
              </w:rPr>
              <w:t>商提供的货物、工程和服务的主营业务成本、</w:t>
            </w:r>
            <w:r>
              <w:rPr>
                <w:rFonts w:ascii="宋体" w:hAnsi="宋体" w:eastAsia="宋体" w:cs="宋体"/>
                <w:sz w:val="23"/>
                <w:szCs w:val="23"/>
              </w:rPr>
              <w:t xml:space="preserve"> </w:t>
            </w:r>
            <w:r>
              <w:rPr>
                <w:rFonts w:ascii="宋体" w:hAnsi="宋体" w:eastAsia="宋体" w:cs="宋体"/>
                <w:spacing w:val="18"/>
                <w:sz w:val="23"/>
                <w:szCs w:val="23"/>
              </w:rPr>
              <w:t>税</w:t>
            </w:r>
            <w:r>
              <w:rPr>
                <w:rFonts w:ascii="宋体" w:hAnsi="宋体" w:eastAsia="宋体" w:cs="宋体"/>
                <w:spacing w:val="17"/>
                <w:sz w:val="23"/>
                <w:szCs w:val="23"/>
              </w:rPr>
              <w:t>金</w:t>
            </w:r>
            <w:r>
              <w:rPr>
                <w:rFonts w:ascii="宋体" w:hAnsi="宋体" w:eastAsia="宋体" w:cs="宋体"/>
                <w:spacing w:val="9"/>
                <w:sz w:val="23"/>
                <w:szCs w:val="23"/>
              </w:rPr>
              <w:t>及附加、销售费用、管理费用、财务费用等成本构成事</w:t>
            </w:r>
            <w:r>
              <w:rPr>
                <w:rFonts w:ascii="宋体" w:hAnsi="宋体" w:eastAsia="宋体" w:cs="宋体"/>
                <w:sz w:val="23"/>
                <w:szCs w:val="23"/>
              </w:rPr>
              <w:t xml:space="preserve"> </w:t>
            </w:r>
            <w:r>
              <w:rPr>
                <w:rFonts w:ascii="宋体" w:hAnsi="宋体" w:eastAsia="宋体" w:cs="宋体"/>
                <w:spacing w:val="11"/>
                <w:sz w:val="23"/>
                <w:szCs w:val="23"/>
              </w:rPr>
              <w:t>项</w:t>
            </w:r>
            <w:r>
              <w:rPr>
                <w:rFonts w:ascii="宋体" w:hAnsi="宋体" w:eastAsia="宋体" w:cs="宋体"/>
                <w:spacing w:val="6"/>
                <w:sz w:val="23"/>
                <w:szCs w:val="23"/>
              </w:rPr>
              <w:t>详细陈述 。</w:t>
            </w:r>
          </w:p>
          <w:p>
            <w:pPr>
              <w:keepNext w:val="0"/>
              <w:keepLines w:val="0"/>
              <w:pageBreakBefore w:val="0"/>
              <w:widowControl/>
              <w:kinsoku w:val="0"/>
              <w:wordWrap/>
              <w:overflowPunct/>
              <w:topLinePunct w:val="0"/>
              <w:autoSpaceDE w:val="0"/>
              <w:autoSpaceDN w:val="0"/>
              <w:bidi w:val="0"/>
              <w:adjustRightInd w:val="0"/>
              <w:snapToGrid w:val="0"/>
              <w:spacing w:before="134" w:line="240" w:lineRule="auto"/>
              <w:ind w:left="115" w:right="108" w:firstLine="2"/>
              <w:textAlignment w:val="baseline"/>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9"/>
                <w:sz w:val="23"/>
                <w:szCs w:val="23"/>
              </w:rPr>
              <w:t xml:space="preserve"> </w:t>
            </w:r>
            <w:r>
              <w:rPr>
                <w:rFonts w:ascii="宋体" w:hAnsi="宋体" w:eastAsia="宋体" w:cs="宋体"/>
                <w:spacing w:val="7"/>
                <w:sz w:val="23"/>
                <w:szCs w:val="23"/>
              </w:rPr>
              <w:t>供应商书面说明应当签字确认或者加盖公章，否则无效。</w:t>
            </w:r>
            <w:r>
              <w:rPr>
                <w:rFonts w:ascii="宋体" w:hAnsi="宋体" w:eastAsia="宋体" w:cs="宋体"/>
                <w:spacing w:val="11"/>
                <w:sz w:val="23"/>
                <w:szCs w:val="23"/>
              </w:rPr>
              <w:t>书</w:t>
            </w:r>
            <w:r>
              <w:rPr>
                <w:rFonts w:ascii="宋体" w:hAnsi="宋体" w:eastAsia="宋体" w:cs="宋体"/>
                <w:spacing w:val="9"/>
                <w:sz w:val="23"/>
                <w:szCs w:val="23"/>
              </w:rPr>
              <w:t>面说明的签字确认，由其法定代表人/主要负责人/本人或</w:t>
            </w:r>
            <w:r>
              <w:rPr>
                <w:rFonts w:ascii="宋体" w:hAnsi="宋体" w:eastAsia="宋体" w:cs="宋体"/>
                <w:sz w:val="23"/>
                <w:szCs w:val="23"/>
              </w:rPr>
              <w:t xml:space="preserve"> </w:t>
            </w:r>
            <w:r>
              <w:rPr>
                <w:rFonts w:ascii="宋体" w:hAnsi="宋体" w:eastAsia="宋体" w:cs="宋体"/>
                <w:spacing w:val="8"/>
                <w:sz w:val="23"/>
                <w:szCs w:val="23"/>
              </w:rPr>
              <w:t>者其授权代表签字确认。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9"/>
                <w:sz w:val="23"/>
                <w:szCs w:val="23"/>
              </w:rPr>
              <w:t>.供应商提供书面说明后，磋商小组应当结合采购项目</w:t>
            </w:r>
            <w:r>
              <w:rPr>
                <w:rFonts w:ascii="宋体" w:hAnsi="宋体" w:eastAsia="宋体" w:cs="宋体"/>
                <w:spacing w:val="18"/>
                <w:sz w:val="23"/>
                <w:szCs w:val="23"/>
              </w:rPr>
              <w:t>需</w:t>
            </w:r>
            <w:r>
              <w:rPr>
                <w:rFonts w:ascii="宋体" w:hAnsi="宋体" w:eastAsia="宋体" w:cs="宋体"/>
                <w:spacing w:val="15"/>
                <w:sz w:val="23"/>
                <w:szCs w:val="23"/>
              </w:rPr>
              <w:t>求</w:t>
            </w:r>
            <w:r>
              <w:rPr>
                <w:rFonts w:ascii="宋体" w:hAnsi="宋体" w:eastAsia="宋体" w:cs="宋体"/>
                <w:spacing w:val="9"/>
                <w:sz w:val="23"/>
                <w:szCs w:val="23"/>
              </w:rPr>
              <w:t>、专业实际情况、供应商财务状况报告、与其他供应商</w:t>
            </w:r>
            <w:r>
              <w:rPr>
                <w:rFonts w:ascii="宋体" w:hAnsi="宋体" w:eastAsia="宋体" w:cs="宋体"/>
                <w:spacing w:val="18"/>
                <w:sz w:val="23"/>
                <w:szCs w:val="23"/>
              </w:rPr>
              <w:t>比</w:t>
            </w:r>
            <w:r>
              <w:rPr>
                <w:rFonts w:ascii="宋体" w:hAnsi="宋体" w:eastAsia="宋体" w:cs="宋体"/>
                <w:spacing w:val="15"/>
                <w:sz w:val="23"/>
                <w:szCs w:val="23"/>
              </w:rPr>
              <w:t>较</w:t>
            </w:r>
            <w:r>
              <w:rPr>
                <w:rFonts w:ascii="宋体" w:hAnsi="宋体" w:eastAsia="宋体" w:cs="宋体"/>
                <w:spacing w:val="9"/>
                <w:sz w:val="23"/>
                <w:szCs w:val="23"/>
              </w:rPr>
              <w:t>情况等就供应商书面说明进行审查评价。供应商拒绝或</w:t>
            </w:r>
            <w:r>
              <w:rPr>
                <w:rFonts w:ascii="宋体" w:hAnsi="宋体" w:eastAsia="宋体" w:cs="宋体"/>
                <w:spacing w:val="18"/>
                <w:sz w:val="23"/>
                <w:szCs w:val="23"/>
              </w:rPr>
              <w:t>者</w:t>
            </w:r>
            <w:r>
              <w:rPr>
                <w:rFonts w:ascii="宋体" w:hAnsi="宋体" w:eastAsia="宋体" w:cs="宋体"/>
                <w:spacing w:val="15"/>
                <w:sz w:val="23"/>
                <w:szCs w:val="23"/>
              </w:rPr>
              <w:t>变</w:t>
            </w:r>
            <w:r>
              <w:rPr>
                <w:rFonts w:ascii="宋体" w:hAnsi="宋体" w:eastAsia="宋体" w:cs="宋体"/>
                <w:spacing w:val="9"/>
                <w:sz w:val="23"/>
                <w:szCs w:val="23"/>
              </w:rPr>
              <w:t>相拒绝提供有效书面说明或者书面说明不能证明其报价</w:t>
            </w:r>
            <w:r>
              <w:rPr>
                <w:rFonts w:ascii="宋体" w:hAnsi="宋体" w:eastAsia="宋体" w:cs="宋体"/>
                <w:spacing w:val="18"/>
                <w:sz w:val="23"/>
                <w:szCs w:val="23"/>
              </w:rPr>
              <w:t>合</w:t>
            </w:r>
            <w:r>
              <w:rPr>
                <w:rFonts w:ascii="宋体" w:hAnsi="宋体" w:eastAsia="宋体" w:cs="宋体"/>
                <w:spacing w:val="15"/>
                <w:sz w:val="23"/>
                <w:szCs w:val="23"/>
              </w:rPr>
              <w:t>理</w:t>
            </w:r>
            <w:r>
              <w:rPr>
                <w:rFonts w:ascii="宋体" w:hAnsi="宋体" w:eastAsia="宋体" w:cs="宋体"/>
                <w:spacing w:val="9"/>
                <w:sz w:val="23"/>
                <w:szCs w:val="23"/>
              </w:rPr>
              <w:t>性的或未在规定时间内递交有效书面说明书的，磋商小</w:t>
            </w:r>
            <w:r>
              <w:rPr>
                <w:rFonts w:ascii="宋体" w:hAnsi="宋体" w:eastAsia="宋体" w:cs="宋体"/>
                <w:spacing w:val="16"/>
                <w:sz w:val="23"/>
                <w:szCs w:val="23"/>
              </w:rPr>
              <w:t>组</w:t>
            </w:r>
            <w:r>
              <w:rPr>
                <w:rFonts w:ascii="宋体" w:hAnsi="宋体" w:eastAsia="宋体" w:cs="宋体"/>
                <w:spacing w:val="9"/>
                <w:sz w:val="23"/>
                <w:szCs w:val="23"/>
              </w:rPr>
              <w:t>应</w:t>
            </w:r>
            <w:r>
              <w:rPr>
                <w:rFonts w:ascii="宋体" w:hAnsi="宋体" w:eastAsia="宋体" w:cs="宋体"/>
                <w:spacing w:val="8"/>
                <w:sz w:val="23"/>
                <w:szCs w:val="23"/>
              </w:rPr>
              <w:t>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471" w:type="pct"/>
            <w:vAlign w:val="top"/>
          </w:tcPr>
          <w:p>
            <w:pPr>
              <w:spacing w:before="75" w:line="191" w:lineRule="auto"/>
              <w:ind w:left="343"/>
              <w:rPr>
                <w:rFonts w:hint="default"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10</w:t>
            </w:r>
          </w:p>
        </w:tc>
        <w:tc>
          <w:tcPr>
            <w:tcW w:w="1268" w:type="pct"/>
            <w:vAlign w:val="top"/>
          </w:tcPr>
          <w:p>
            <w:pPr>
              <w:spacing w:before="181" w:line="228" w:lineRule="auto"/>
              <w:ind w:left="357"/>
              <w:rPr>
                <w:rFonts w:ascii="宋体" w:hAnsi="宋体" w:eastAsia="宋体" w:cs="宋体"/>
                <w:spacing w:val="22"/>
                <w:sz w:val="23"/>
                <w:szCs w:val="23"/>
              </w:rPr>
            </w:pPr>
            <w:r>
              <w:rPr>
                <w:rFonts w:hint="eastAsia" w:ascii="宋体" w:hAnsi="宋体" w:eastAsia="宋体" w:cs="宋体"/>
                <w:spacing w:val="22"/>
                <w:sz w:val="23"/>
                <w:szCs w:val="23"/>
              </w:rPr>
              <w:t>小微企业（监狱企业视同小微企业）价格扣除和失信企业报价加成或者扣分（实质性要求）</w:t>
            </w:r>
          </w:p>
        </w:tc>
        <w:tc>
          <w:tcPr>
            <w:tcW w:w="3259"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一、小微企业（监狱企业、残疾人福利性单位视同小微企业）价格扣除</w:t>
            </w:r>
            <w:r>
              <w:rPr>
                <w:rFonts w:hint="eastAsia" w:ascii="宋体" w:hAnsi="宋体" w:eastAsia="宋体" w:cs="宋体"/>
                <w:spacing w:val="11"/>
                <w:sz w:val="23"/>
                <w:szCs w:val="23"/>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1.根据财政部工业和信息化部关于印发《政府采购促进中小企业发展暂行办法》的通知(财库[2020]46号)、《关于进一步加大政府采购支持中小企业力度的通知》(财库[2022]19号)、《四川省财政厅关于转发财政部&lt;关于进一步加大政府采购支持中小企业力度的通知〉的通知》(川财采 [2022] 78号)规定，对小型和微型企业(残疾人福利性单位和监狱企业视同小微企业)产品(含服务)的价格给予</w:t>
            </w:r>
            <w:r>
              <w:rPr>
                <w:rFonts w:hint="eastAsia" w:ascii="宋体" w:hAnsi="宋体" w:eastAsia="宋体" w:cs="宋体"/>
                <w:spacing w:val="11"/>
                <w:sz w:val="23"/>
                <w:szCs w:val="23"/>
              </w:rPr>
              <w:t>2</w:t>
            </w:r>
            <w:r>
              <w:rPr>
                <w:rFonts w:hint="eastAsia" w:ascii="宋体" w:hAnsi="宋体" w:eastAsia="宋体" w:cs="宋体"/>
                <w:spacing w:val="11"/>
                <w:sz w:val="23"/>
                <w:szCs w:val="23"/>
                <w:lang w:val="zh-CN" w:eastAsia="zh-CN"/>
              </w:rPr>
              <w:t>0%的扣除，用扣除后的价格参与评审。(若为仅面向中小企业的项目，不再做价格扣除。)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2.参加政府采购活动的中小企业应当提供《中小企业声明函》原件,监狱企业应当提供《监狱企业证明》原件，残疾人福利性单位应当提供《残疾人福利性单位声明函》原件。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二、失信企业扣分：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rPr>
              <w:t>1.《四川省公共资源交易领域严重失信联合惩戒实施办法》（川发改信用规〔2019〕405号）、《关于对政府采购领域严重违法失信主体开展联合惩戒的合作备忘录》（发改财金〔2018〕1614号）等相关规定。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ascii="宋体" w:hAnsi="宋体" w:eastAsia="宋体" w:cs="宋体"/>
                <w:spacing w:val="11"/>
                <w:sz w:val="23"/>
                <w:szCs w:val="23"/>
              </w:rPr>
            </w:pPr>
            <w:r>
              <w:rPr>
                <w:rFonts w:hint="eastAsia" w:ascii="宋体" w:hAnsi="宋体" w:eastAsia="宋体" w:cs="宋体"/>
                <w:spacing w:val="11"/>
                <w:sz w:val="23"/>
                <w:szCs w:val="23"/>
                <w:lang w:val="zh-CN" w:eastAsia="zh-CN"/>
              </w:rPr>
              <w:t>2.供应商参加政府采购活动时，应当就自己的诚信情况在响应文件中进行承诺。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471" w:type="pct"/>
            <w:vAlign w:val="top"/>
          </w:tcPr>
          <w:p>
            <w:pPr>
              <w:spacing w:before="75" w:line="191" w:lineRule="auto"/>
              <w:ind w:left="343"/>
              <w:rPr>
                <w:rFonts w:hint="default" w:ascii="宋体" w:hAnsi="宋体" w:eastAsia="宋体" w:cs="宋体"/>
                <w:spacing w:val="-10"/>
                <w:sz w:val="23"/>
                <w:szCs w:val="23"/>
                <w:lang w:val="en-US" w:eastAsia="zh-CN"/>
              </w:rPr>
            </w:pPr>
            <w:r>
              <w:rPr>
                <w:rFonts w:hint="eastAsia" w:ascii="宋体" w:hAnsi="宋体" w:eastAsia="宋体" w:cs="宋体"/>
                <w:spacing w:val="-10"/>
                <w:sz w:val="23"/>
                <w:szCs w:val="23"/>
                <w:lang w:val="en-US" w:eastAsia="zh-CN"/>
              </w:rPr>
              <w:t>11</w:t>
            </w:r>
          </w:p>
        </w:tc>
        <w:tc>
          <w:tcPr>
            <w:tcW w:w="1268" w:type="pct"/>
            <w:vAlign w:val="top"/>
          </w:tcPr>
          <w:p>
            <w:pPr>
              <w:spacing w:before="181" w:line="228" w:lineRule="auto"/>
              <w:ind w:left="357"/>
              <w:jc w:val="center"/>
              <w:rPr>
                <w:rFonts w:hint="eastAsia" w:ascii="宋体" w:hAnsi="宋体" w:eastAsia="宋体" w:cs="宋体"/>
                <w:spacing w:val="22"/>
                <w:sz w:val="23"/>
                <w:szCs w:val="23"/>
              </w:rPr>
            </w:pPr>
            <w:r>
              <w:rPr>
                <w:rFonts w:hint="eastAsia" w:ascii="宋体" w:hAnsi="宋体" w:eastAsia="宋体" w:cs="宋体"/>
                <w:spacing w:val="22"/>
                <w:sz w:val="23"/>
                <w:szCs w:val="23"/>
              </w:rPr>
              <w:t>项目类型</w:t>
            </w:r>
          </w:p>
          <w:p>
            <w:pPr>
              <w:spacing w:before="181" w:line="228" w:lineRule="auto"/>
              <w:ind w:left="357"/>
              <w:jc w:val="center"/>
              <w:rPr>
                <w:rFonts w:hint="eastAsia" w:ascii="宋体" w:hAnsi="宋体" w:eastAsia="宋体" w:cs="宋体"/>
                <w:spacing w:val="22"/>
                <w:sz w:val="23"/>
                <w:szCs w:val="23"/>
              </w:rPr>
            </w:pPr>
            <w:r>
              <w:rPr>
                <w:rFonts w:hint="eastAsia" w:ascii="宋体" w:hAnsi="宋体" w:eastAsia="宋体" w:cs="宋体"/>
                <w:spacing w:val="22"/>
                <w:sz w:val="23"/>
                <w:szCs w:val="23"/>
              </w:rPr>
              <w:t>（实质性要求）</w:t>
            </w:r>
          </w:p>
        </w:tc>
        <w:tc>
          <w:tcPr>
            <w:tcW w:w="3259" w:type="pct"/>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t>根据关于印发《政府采购促进中小企业发展管理办法》的通知财库〔2020〕46号的规定，本次采购项目系：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sym w:font="Wingdings" w:char="00FE"/>
            </w:r>
            <w:r>
              <w:rPr>
                <w:rFonts w:hint="eastAsia" w:ascii="宋体" w:hAnsi="宋体" w:eastAsia="宋体" w:cs="宋体"/>
                <w:spacing w:val="11"/>
                <w:sz w:val="23"/>
                <w:szCs w:val="23"/>
                <w:lang w:val="zh-CN" w:eastAsia="zh-CN"/>
              </w:rPr>
              <w:t>专门面向中小企业的采购项目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16"/>
              <w:textAlignment w:val="baseline"/>
              <w:rPr>
                <w:rFonts w:hint="eastAsia" w:ascii="宋体" w:hAnsi="宋体" w:eastAsia="宋体" w:cs="宋体"/>
                <w:spacing w:val="11"/>
                <w:sz w:val="23"/>
                <w:szCs w:val="23"/>
                <w:lang w:val="zh-CN" w:eastAsia="zh-CN"/>
              </w:rPr>
            </w:pPr>
            <w:r>
              <w:rPr>
                <w:rFonts w:hint="eastAsia" w:ascii="宋体" w:hAnsi="宋体" w:eastAsia="宋体" w:cs="宋体"/>
                <w:spacing w:val="11"/>
                <w:sz w:val="23"/>
                <w:szCs w:val="23"/>
                <w:lang w:val="zh-CN" w:eastAsia="zh-CN"/>
              </w:rPr>
              <w:sym w:font="Wingdings" w:char="00A8"/>
            </w:r>
            <w:r>
              <w:rPr>
                <w:rFonts w:hint="eastAsia" w:ascii="宋体" w:hAnsi="宋体" w:eastAsia="宋体" w:cs="宋体"/>
                <w:spacing w:val="11"/>
                <w:sz w:val="23"/>
                <w:szCs w:val="23"/>
                <w:lang w:val="zh-CN" w:eastAsia="zh-CN"/>
              </w:rPr>
              <w:t>一般采购项目</w:t>
            </w:r>
          </w:p>
        </w:tc>
      </w:tr>
    </w:tbl>
    <w:p>
      <w:pPr>
        <w:spacing w:line="340" w:lineRule="auto"/>
        <w:rPr>
          <w:rFonts w:ascii="Arial"/>
          <w:sz w:val="21"/>
        </w:rPr>
      </w:pPr>
    </w:p>
    <w:p>
      <w:pPr>
        <w:sectPr>
          <w:headerReference r:id="rId9" w:type="default"/>
          <w:footerReference r:id="rId10" w:type="default"/>
          <w:pgSz w:w="11906" w:h="16839"/>
          <w:pgMar w:top="1417" w:right="1417" w:bottom="1417" w:left="1417" w:header="0" w:footer="1071" w:gutter="0"/>
          <w:pgNumType w:fmt="decimal"/>
          <w:cols w:space="0" w:num="1"/>
          <w:rtlGutter w:val="0"/>
        </w:sectPr>
      </w:pPr>
    </w:p>
    <w:tbl>
      <w:tblPr>
        <w:tblStyle w:val="2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69"/>
        <w:gridCol w:w="2427"/>
        <w:gridCol w:w="5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479" w:type="pct"/>
            <w:vAlign w:val="top"/>
          </w:tcPr>
          <w:p>
            <w:pPr>
              <w:spacing w:line="259" w:lineRule="auto"/>
            </w:pPr>
          </w:p>
          <w:p>
            <w:pPr>
              <w:spacing w:before="75" w:line="192" w:lineRule="auto"/>
              <w:ind w:left="343"/>
              <w:rPr>
                <w:rFonts w:hint="eastAsia"/>
                <w:lang w:val="en-US" w:eastAsia="zh-CN"/>
              </w:rPr>
            </w:pPr>
            <w:r>
              <w:t>1</w:t>
            </w:r>
            <w:r>
              <w:rPr>
                <w:rFonts w:hint="eastAsia"/>
                <w:lang w:val="en-US" w:eastAsia="zh-CN"/>
              </w:rPr>
              <w:t>2</w:t>
            </w:r>
          </w:p>
          <w:p>
            <w:pPr>
              <w:pStyle w:val="2"/>
              <w:rPr>
                <w:rFonts w:hint="eastAsia"/>
                <w:lang w:val="en-US" w:eastAsia="zh-CN"/>
              </w:rPr>
            </w:pPr>
          </w:p>
          <w:p>
            <w:pPr>
              <w:pStyle w:val="3"/>
              <w:rPr>
                <w:rFonts w:hint="eastAsia" w:ascii="宋体" w:hAnsi="宋体" w:eastAsia="宋体" w:cs="宋体"/>
                <w:spacing w:val="-10"/>
                <w:sz w:val="23"/>
                <w:szCs w:val="23"/>
                <w:lang w:val="en-US" w:eastAsia="zh-CN"/>
              </w:rPr>
            </w:pPr>
          </w:p>
        </w:tc>
        <w:tc>
          <w:tcPr>
            <w:tcW w:w="1337" w:type="pct"/>
            <w:vAlign w:val="top"/>
          </w:tcPr>
          <w:p>
            <w:pPr>
              <w:spacing w:before="298" w:line="226" w:lineRule="auto"/>
              <w:ind w:left="465"/>
              <w:rPr>
                <w:rFonts w:ascii="宋体" w:hAnsi="宋体" w:eastAsia="宋体" w:cs="宋体"/>
                <w:sz w:val="23"/>
                <w:szCs w:val="23"/>
              </w:rPr>
            </w:pPr>
            <w:r>
              <w:rPr>
                <w:rFonts w:ascii="宋体" w:hAnsi="宋体" w:eastAsia="宋体" w:cs="宋体"/>
                <w:spacing w:val="11"/>
                <w:sz w:val="23"/>
                <w:szCs w:val="23"/>
              </w:rPr>
              <w:t>磋</w:t>
            </w:r>
            <w:r>
              <w:rPr>
                <w:rFonts w:ascii="宋体" w:hAnsi="宋体" w:eastAsia="宋体" w:cs="宋体"/>
                <w:spacing w:val="8"/>
                <w:sz w:val="23"/>
                <w:szCs w:val="23"/>
              </w:rPr>
              <w:t>商情况公告</w:t>
            </w:r>
          </w:p>
        </w:tc>
        <w:tc>
          <w:tcPr>
            <w:tcW w:w="3183" w:type="pct"/>
            <w:vAlign w:val="top"/>
          </w:tcPr>
          <w:p>
            <w:pPr>
              <w:spacing w:before="63" w:line="366" w:lineRule="auto"/>
              <w:ind w:left="119" w:right="114" w:hanging="6"/>
              <w:rPr>
                <w:rFonts w:ascii="宋体" w:hAnsi="宋体" w:eastAsia="宋体" w:cs="宋体"/>
                <w:sz w:val="23"/>
                <w:szCs w:val="23"/>
              </w:rPr>
            </w:pPr>
            <w:r>
              <w:rPr>
                <w:rFonts w:ascii="宋体" w:hAnsi="宋体" w:eastAsia="宋体" w:cs="宋体"/>
                <w:spacing w:val="6"/>
                <w:sz w:val="23"/>
                <w:szCs w:val="23"/>
              </w:rPr>
              <w:t>磋商结果在“</w:t>
            </w:r>
            <w:r>
              <w:rPr>
                <w:rFonts w:hint="eastAsia" w:ascii="宋体" w:hAnsi="宋体" w:eastAsia="宋体" w:cs="宋体"/>
                <w:spacing w:val="6"/>
                <w:sz w:val="23"/>
                <w:szCs w:val="23"/>
                <w:lang w:val="en-US" w:eastAsia="zh-CN"/>
              </w:rPr>
              <w:t>广元市科学技术协会</w:t>
            </w:r>
            <w:r>
              <w:rPr>
                <w:rFonts w:hint="eastAsia" w:ascii="宋体" w:hAnsi="宋体" w:eastAsia="宋体" w:cs="宋体"/>
                <w:spacing w:val="6"/>
                <w:sz w:val="23"/>
                <w:szCs w:val="23"/>
              </w:rPr>
              <w:t>http://www.gyskx.gov.cn/htm/index.htm</w:t>
            </w:r>
            <w:r>
              <w:rPr>
                <w:rFonts w:ascii="宋体" w:hAnsi="宋体" w:eastAsia="宋体" w:cs="宋体"/>
                <w:spacing w:val="6"/>
                <w:sz w:val="23"/>
                <w:szCs w:val="23"/>
              </w:rPr>
              <w:t>”上采购结果公告栏中予以公告。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79" w:type="pct"/>
            <w:vAlign w:val="top"/>
          </w:tcPr>
          <w:p>
            <w:pPr>
              <w:spacing w:before="103"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3</w:t>
            </w:r>
          </w:p>
        </w:tc>
        <w:tc>
          <w:tcPr>
            <w:tcW w:w="1337" w:type="pct"/>
            <w:vAlign w:val="top"/>
          </w:tcPr>
          <w:p>
            <w:pPr>
              <w:spacing w:before="66" w:line="226" w:lineRule="auto"/>
              <w:ind w:left="704"/>
              <w:rPr>
                <w:rFonts w:ascii="宋体" w:hAnsi="宋体" w:eastAsia="宋体" w:cs="宋体"/>
                <w:sz w:val="23"/>
                <w:szCs w:val="23"/>
              </w:rPr>
            </w:pPr>
            <w:r>
              <w:rPr>
                <w:rFonts w:ascii="宋体" w:hAnsi="宋体" w:eastAsia="宋体" w:cs="宋体"/>
                <w:spacing w:val="8"/>
                <w:sz w:val="23"/>
                <w:szCs w:val="23"/>
              </w:rPr>
              <w:t>报价方式</w:t>
            </w:r>
          </w:p>
        </w:tc>
        <w:tc>
          <w:tcPr>
            <w:tcW w:w="3183" w:type="pct"/>
            <w:vAlign w:val="top"/>
          </w:tcPr>
          <w:p>
            <w:pPr>
              <w:spacing w:before="66" w:line="226" w:lineRule="auto"/>
              <w:ind w:left="120"/>
              <w:rPr>
                <w:rFonts w:ascii="宋体" w:hAnsi="宋体" w:eastAsia="宋体" w:cs="宋体"/>
                <w:sz w:val="23"/>
                <w:szCs w:val="23"/>
              </w:rPr>
            </w:pPr>
            <w:r>
              <w:rPr>
                <w:rFonts w:ascii="宋体" w:hAnsi="宋体" w:eastAsia="宋体" w:cs="宋体"/>
                <w:spacing w:val="8"/>
                <w:sz w:val="23"/>
                <w:szCs w:val="23"/>
              </w:rPr>
              <w:t>总价报价及分项明细报价</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79" w:type="pct"/>
            <w:vAlign w:val="top"/>
          </w:tcPr>
          <w:p>
            <w:pPr>
              <w:spacing w:before="89"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4</w:t>
            </w:r>
          </w:p>
        </w:tc>
        <w:tc>
          <w:tcPr>
            <w:tcW w:w="1337" w:type="pct"/>
            <w:vAlign w:val="top"/>
          </w:tcPr>
          <w:p>
            <w:pPr>
              <w:spacing w:before="53" w:line="227" w:lineRule="auto"/>
              <w:ind w:left="478"/>
              <w:rPr>
                <w:rFonts w:ascii="宋体" w:hAnsi="宋体" w:eastAsia="宋体" w:cs="宋体"/>
                <w:sz w:val="23"/>
                <w:szCs w:val="23"/>
              </w:rPr>
            </w:pPr>
            <w:r>
              <w:rPr>
                <w:rFonts w:ascii="宋体" w:hAnsi="宋体" w:eastAsia="宋体" w:cs="宋体"/>
                <w:spacing w:val="8"/>
                <w:sz w:val="23"/>
                <w:szCs w:val="23"/>
              </w:rPr>
              <w:t>响</w:t>
            </w:r>
            <w:r>
              <w:rPr>
                <w:rFonts w:ascii="宋体" w:hAnsi="宋体" w:eastAsia="宋体" w:cs="宋体"/>
                <w:spacing w:val="6"/>
                <w:sz w:val="23"/>
                <w:szCs w:val="23"/>
              </w:rPr>
              <w:t>应文件份数</w:t>
            </w:r>
          </w:p>
        </w:tc>
        <w:tc>
          <w:tcPr>
            <w:tcW w:w="3183" w:type="pct"/>
            <w:vAlign w:val="top"/>
          </w:tcPr>
          <w:p>
            <w:pPr>
              <w:spacing w:before="52" w:line="227" w:lineRule="auto"/>
              <w:ind w:left="119"/>
              <w:rPr>
                <w:rFonts w:ascii="宋体" w:hAnsi="宋体" w:eastAsia="宋体" w:cs="宋体"/>
                <w:sz w:val="23"/>
                <w:szCs w:val="23"/>
              </w:rPr>
            </w:pPr>
            <w:r>
              <w:rPr>
                <w:rFonts w:ascii="宋体" w:hAnsi="宋体" w:eastAsia="宋体" w:cs="宋体"/>
                <w:spacing w:val="16"/>
                <w:sz w:val="23"/>
                <w:szCs w:val="23"/>
              </w:rPr>
              <w:t>正</w:t>
            </w:r>
            <w:r>
              <w:rPr>
                <w:rFonts w:ascii="宋体" w:hAnsi="宋体" w:eastAsia="宋体" w:cs="宋体"/>
                <w:spacing w:val="12"/>
                <w:sz w:val="23"/>
                <w:szCs w:val="23"/>
              </w:rPr>
              <w:t>本</w:t>
            </w:r>
            <w:r>
              <w:rPr>
                <w:rFonts w:ascii="宋体" w:hAnsi="宋体" w:eastAsia="宋体" w:cs="宋体"/>
                <w:spacing w:val="8"/>
                <w:sz w:val="23"/>
                <w:szCs w:val="23"/>
              </w:rPr>
              <w:t>一份，副本二份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479" w:type="pct"/>
            <w:vAlign w:val="top"/>
          </w:tcPr>
          <w:p>
            <w:pPr>
              <w:spacing w:before="224" w:line="191" w:lineRule="auto"/>
              <w:ind w:left="343"/>
              <w:rPr>
                <w:rFonts w:hint="eastAsia" w:ascii="宋体" w:hAnsi="宋体" w:eastAsia="宋体" w:cs="宋体"/>
                <w:sz w:val="23"/>
                <w:szCs w:val="23"/>
                <w:lang w:val="en-US" w:eastAsia="zh-CN"/>
              </w:rPr>
            </w:pPr>
            <w:r>
              <w:rPr>
                <w:rFonts w:ascii="宋体" w:hAnsi="宋体" w:eastAsia="宋体" w:cs="宋体"/>
                <w:spacing w:val="-10"/>
                <w:sz w:val="23"/>
                <w:szCs w:val="23"/>
              </w:rPr>
              <w:t>1</w:t>
            </w:r>
            <w:r>
              <w:rPr>
                <w:rFonts w:hint="eastAsia" w:ascii="宋体" w:hAnsi="宋体" w:eastAsia="宋体" w:cs="宋体"/>
                <w:spacing w:val="-10"/>
                <w:sz w:val="23"/>
                <w:szCs w:val="23"/>
                <w:lang w:val="en-US" w:eastAsia="zh-CN"/>
              </w:rPr>
              <w:t>5</w:t>
            </w:r>
          </w:p>
        </w:tc>
        <w:tc>
          <w:tcPr>
            <w:tcW w:w="1337" w:type="pct"/>
            <w:vAlign w:val="top"/>
          </w:tcPr>
          <w:p>
            <w:pPr>
              <w:spacing w:before="187" w:line="227" w:lineRule="auto"/>
              <w:ind w:left="706"/>
              <w:rPr>
                <w:rFonts w:ascii="宋体" w:hAnsi="宋体" w:eastAsia="宋体" w:cs="宋体"/>
                <w:sz w:val="23"/>
                <w:szCs w:val="23"/>
              </w:rPr>
            </w:pPr>
            <w:r>
              <w:rPr>
                <w:rFonts w:ascii="宋体" w:hAnsi="宋体" w:eastAsia="宋体" w:cs="宋体"/>
                <w:spacing w:val="9"/>
                <w:sz w:val="23"/>
                <w:szCs w:val="23"/>
              </w:rPr>
              <w:t>签</w:t>
            </w:r>
            <w:r>
              <w:rPr>
                <w:rFonts w:ascii="宋体" w:hAnsi="宋体" w:eastAsia="宋体" w:cs="宋体"/>
                <w:spacing w:val="7"/>
                <w:sz w:val="23"/>
                <w:szCs w:val="23"/>
              </w:rPr>
              <w:t>字盖章</w:t>
            </w:r>
          </w:p>
        </w:tc>
        <w:tc>
          <w:tcPr>
            <w:tcW w:w="3183" w:type="pct"/>
            <w:vAlign w:val="top"/>
          </w:tcPr>
          <w:p>
            <w:pPr>
              <w:spacing w:before="187" w:line="227" w:lineRule="auto"/>
              <w:ind w:left="114"/>
              <w:rPr>
                <w:rFonts w:ascii="宋体" w:hAnsi="宋体" w:eastAsia="宋体" w:cs="宋体"/>
                <w:sz w:val="23"/>
                <w:szCs w:val="23"/>
              </w:rPr>
            </w:pPr>
            <w:r>
              <w:rPr>
                <w:rFonts w:ascii="宋体" w:hAnsi="宋体" w:eastAsia="宋体" w:cs="宋体"/>
                <w:spacing w:val="12"/>
                <w:sz w:val="23"/>
                <w:szCs w:val="23"/>
              </w:rPr>
              <w:t>供</w:t>
            </w:r>
            <w:r>
              <w:rPr>
                <w:rFonts w:ascii="宋体" w:hAnsi="宋体" w:eastAsia="宋体" w:cs="宋体"/>
                <w:spacing w:val="9"/>
                <w:sz w:val="23"/>
                <w:szCs w:val="23"/>
              </w:rPr>
              <w:t>应商必须按照磋商文件的规定和要求签字、盖章。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79" w:type="pct"/>
            <w:vAlign w:val="top"/>
          </w:tcPr>
          <w:p>
            <w:pPr>
              <w:spacing w:before="154"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16</w:t>
            </w:r>
          </w:p>
        </w:tc>
        <w:tc>
          <w:tcPr>
            <w:tcW w:w="1337" w:type="pct"/>
            <w:vAlign w:val="top"/>
          </w:tcPr>
          <w:p>
            <w:pPr>
              <w:spacing w:before="117" w:line="227" w:lineRule="auto"/>
              <w:ind w:left="358"/>
              <w:rPr>
                <w:rFonts w:ascii="宋体" w:hAnsi="宋体" w:eastAsia="宋体" w:cs="宋体"/>
                <w:sz w:val="23"/>
                <w:szCs w:val="23"/>
              </w:rPr>
            </w:pPr>
            <w:r>
              <w:rPr>
                <w:rFonts w:ascii="宋体" w:hAnsi="宋体" w:eastAsia="宋体" w:cs="宋体"/>
                <w:spacing w:val="7"/>
                <w:sz w:val="23"/>
                <w:szCs w:val="23"/>
              </w:rPr>
              <w:t>响应文件的装</w:t>
            </w:r>
            <w:r>
              <w:rPr>
                <w:rFonts w:ascii="宋体" w:hAnsi="宋体" w:eastAsia="宋体" w:cs="宋体"/>
                <w:spacing w:val="6"/>
                <w:sz w:val="23"/>
                <w:szCs w:val="23"/>
              </w:rPr>
              <w:t>订</w:t>
            </w:r>
          </w:p>
        </w:tc>
        <w:tc>
          <w:tcPr>
            <w:tcW w:w="3183" w:type="pct"/>
            <w:vAlign w:val="top"/>
          </w:tcPr>
          <w:p>
            <w:pPr>
              <w:spacing w:before="193" w:line="227" w:lineRule="auto"/>
              <w:ind w:left="118"/>
              <w:rPr>
                <w:rFonts w:ascii="宋体" w:hAnsi="宋体" w:eastAsia="宋体" w:cs="宋体"/>
                <w:sz w:val="23"/>
                <w:szCs w:val="23"/>
              </w:rPr>
            </w:pPr>
            <w:r>
              <w:rPr>
                <w:rFonts w:ascii="宋体" w:hAnsi="宋体" w:eastAsia="宋体" w:cs="宋体"/>
                <w:spacing w:val="9"/>
                <w:sz w:val="23"/>
                <w:szCs w:val="23"/>
              </w:rPr>
              <w:t>一份正本和二份副本</w:t>
            </w:r>
            <w:r>
              <w:rPr>
                <w:rFonts w:ascii="宋体" w:hAnsi="宋体" w:eastAsia="宋体" w:cs="宋体"/>
                <w:spacing w:val="6"/>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479" w:type="pct"/>
            <w:vAlign w:val="top"/>
          </w:tcPr>
          <w:p>
            <w:pPr>
              <w:spacing w:line="463" w:lineRule="auto"/>
              <w:rPr>
                <w:rFonts w:ascii="Arial"/>
                <w:sz w:val="21"/>
              </w:rPr>
            </w:pPr>
          </w:p>
          <w:p>
            <w:pPr>
              <w:spacing w:before="74" w:line="192"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17</w:t>
            </w:r>
          </w:p>
        </w:tc>
        <w:tc>
          <w:tcPr>
            <w:tcW w:w="1337" w:type="pct"/>
            <w:vAlign w:val="top"/>
          </w:tcPr>
          <w:p>
            <w:pPr>
              <w:spacing w:before="271" w:line="384" w:lineRule="auto"/>
              <w:ind w:left="1065" w:right="221" w:hanging="827"/>
              <w:rPr>
                <w:rFonts w:ascii="宋体" w:hAnsi="宋体" w:eastAsia="宋体" w:cs="宋体"/>
                <w:sz w:val="23"/>
                <w:szCs w:val="23"/>
              </w:rPr>
            </w:pPr>
            <w:r>
              <w:rPr>
                <w:rFonts w:ascii="宋体" w:hAnsi="宋体" w:eastAsia="宋体" w:cs="宋体"/>
                <w:spacing w:val="9"/>
                <w:sz w:val="23"/>
                <w:szCs w:val="23"/>
              </w:rPr>
              <w:t>响</w:t>
            </w:r>
            <w:r>
              <w:rPr>
                <w:rFonts w:ascii="宋体" w:hAnsi="宋体" w:eastAsia="宋体" w:cs="宋体"/>
                <w:spacing w:val="7"/>
                <w:sz w:val="23"/>
                <w:szCs w:val="23"/>
              </w:rPr>
              <w:t>应文件封面的标</w:t>
            </w:r>
            <w:r>
              <w:rPr>
                <w:rFonts w:ascii="宋体" w:hAnsi="宋体" w:eastAsia="宋体" w:cs="宋体"/>
                <w:sz w:val="23"/>
                <w:szCs w:val="23"/>
              </w:rPr>
              <w:t xml:space="preserve"> 注</w:t>
            </w:r>
          </w:p>
        </w:tc>
        <w:tc>
          <w:tcPr>
            <w:tcW w:w="3183" w:type="pct"/>
            <w:vAlign w:val="top"/>
          </w:tcPr>
          <w:p>
            <w:pPr>
              <w:spacing w:before="36" w:line="374" w:lineRule="auto"/>
              <w:ind w:left="158" w:hanging="32"/>
              <w:rPr>
                <w:rFonts w:ascii="宋体" w:hAnsi="宋体" w:eastAsia="宋体" w:cs="宋体"/>
                <w:sz w:val="23"/>
                <w:szCs w:val="23"/>
              </w:rPr>
            </w:pPr>
            <w:r>
              <w:rPr>
                <w:rFonts w:ascii="宋体" w:hAnsi="宋体" w:eastAsia="宋体" w:cs="宋体"/>
                <w:spacing w:val="8"/>
                <w:sz w:val="23"/>
                <w:szCs w:val="23"/>
              </w:rPr>
              <w:t>响应文件</w:t>
            </w:r>
            <w:r>
              <w:rPr>
                <w:rFonts w:ascii="宋体" w:hAnsi="宋体" w:eastAsia="宋体" w:cs="宋体"/>
                <w:spacing w:val="6"/>
                <w:sz w:val="23"/>
                <w:szCs w:val="23"/>
              </w:rPr>
              <w:t>正</w:t>
            </w:r>
            <w:r>
              <w:rPr>
                <w:rFonts w:ascii="宋体" w:hAnsi="宋体" w:eastAsia="宋体" w:cs="宋体"/>
                <w:spacing w:val="4"/>
                <w:sz w:val="23"/>
                <w:szCs w:val="23"/>
              </w:rPr>
              <w:t>本和副本的封面上均应标明：采购项目名称、项</w:t>
            </w:r>
            <w:r>
              <w:rPr>
                <w:rFonts w:ascii="宋体" w:hAnsi="宋体" w:eastAsia="宋体" w:cs="宋体"/>
                <w:spacing w:val="6"/>
                <w:sz w:val="23"/>
                <w:szCs w:val="23"/>
              </w:rPr>
              <w:t>目编</w:t>
            </w:r>
            <w:r>
              <w:rPr>
                <w:rFonts w:ascii="宋体" w:hAnsi="宋体" w:eastAsia="宋体" w:cs="宋体"/>
                <w:spacing w:val="5"/>
                <w:sz w:val="23"/>
                <w:szCs w:val="23"/>
              </w:rPr>
              <w:t>号</w:t>
            </w:r>
            <w:r>
              <w:rPr>
                <w:rFonts w:ascii="宋体" w:hAnsi="宋体" w:eastAsia="宋体" w:cs="宋体"/>
                <w:spacing w:val="3"/>
                <w:sz w:val="23"/>
                <w:szCs w:val="23"/>
              </w:rPr>
              <w:t>、供应商名称、年月日；并分别在封面上标明“正本”</w:t>
            </w:r>
            <w:r>
              <w:rPr>
                <w:rFonts w:ascii="宋体" w:hAnsi="宋体" w:eastAsia="宋体" w:cs="宋体"/>
                <w:spacing w:val="6"/>
                <w:sz w:val="23"/>
                <w:szCs w:val="23"/>
              </w:rPr>
              <w:t>和</w:t>
            </w:r>
            <w:r>
              <w:rPr>
                <w:rFonts w:ascii="宋体" w:hAnsi="宋体" w:eastAsia="宋体" w:cs="宋体"/>
                <w:spacing w:val="4"/>
                <w:sz w:val="23"/>
                <w:szCs w:val="23"/>
              </w:rPr>
              <w:t>“</w:t>
            </w:r>
            <w:r>
              <w:rPr>
                <w:rFonts w:ascii="宋体" w:hAnsi="宋体" w:eastAsia="宋体" w:cs="宋体"/>
                <w:spacing w:val="3"/>
                <w:sz w:val="23"/>
                <w:szCs w:val="23"/>
              </w:rPr>
              <w:t>副本”字样。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9" w:type="pct"/>
            <w:vAlign w:val="top"/>
          </w:tcPr>
          <w:p>
            <w:pPr>
              <w:spacing w:before="306" w:line="192"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18</w:t>
            </w:r>
          </w:p>
        </w:tc>
        <w:tc>
          <w:tcPr>
            <w:tcW w:w="1337" w:type="pct"/>
            <w:vAlign w:val="top"/>
          </w:tcPr>
          <w:p>
            <w:pPr>
              <w:spacing w:before="36" w:line="466" w:lineRule="exact"/>
              <w:ind w:left="238"/>
              <w:rPr>
                <w:rFonts w:ascii="宋体" w:hAnsi="宋体" w:eastAsia="宋体" w:cs="宋体"/>
                <w:sz w:val="23"/>
                <w:szCs w:val="23"/>
              </w:rPr>
            </w:pPr>
            <w:r>
              <w:rPr>
                <w:rFonts w:ascii="宋体" w:hAnsi="宋体" w:eastAsia="宋体" w:cs="宋体"/>
                <w:spacing w:val="9"/>
                <w:position w:val="17"/>
                <w:sz w:val="23"/>
                <w:szCs w:val="23"/>
              </w:rPr>
              <w:t>响</w:t>
            </w:r>
            <w:r>
              <w:rPr>
                <w:rFonts w:ascii="宋体" w:hAnsi="宋体" w:eastAsia="宋体" w:cs="宋体"/>
                <w:spacing w:val="7"/>
                <w:position w:val="17"/>
                <w:sz w:val="23"/>
                <w:szCs w:val="23"/>
              </w:rPr>
              <w:t>应文件外层密封</w:t>
            </w:r>
          </w:p>
          <w:p>
            <w:pPr>
              <w:spacing w:line="228" w:lineRule="auto"/>
              <w:ind w:left="706"/>
              <w:rPr>
                <w:rFonts w:ascii="宋体" w:hAnsi="宋体" w:eastAsia="宋体" w:cs="宋体"/>
                <w:sz w:val="23"/>
                <w:szCs w:val="23"/>
              </w:rPr>
            </w:pPr>
            <w:r>
              <w:rPr>
                <w:rFonts w:ascii="宋体" w:hAnsi="宋体" w:eastAsia="宋体" w:cs="宋体"/>
                <w:spacing w:val="9"/>
                <w:sz w:val="23"/>
                <w:szCs w:val="23"/>
              </w:rPr>
              <w:t>袋</w:t>
            </w:r>
            <w:r>
              <w:rPr>
                <w:rFonts w:ascii="宋体" w:hAnsi="宋体" w:eastAsia="宋体" w:cs="宋体"/>
                <w:spacing w:val="7"/>
                <w:sz w:val="23"/>
                <w:szCs w:val="23"/>
              </w:rPr>
              <w:t>的标注</w:t>
            </w:r>
          </w:p>
        </w:tc>
        <w:tc>
          <w:tcPr>
            <w:tcW w:w="3183" w:type="pct"/>
            <w:vAlign w:val="top"/>
          </w:tcPr>
          <w:p>
            <w:pPr>
              <w:spacing w:before="268" w:line="227" w:lineRule="auto"/>
              <w:ind w:left="113"/>
              <w:rPr>
                <w:rFonts w:ascii="宋体" w:hAnsi="宋体" w:eastAsia="宋体" w:cs="宋体"/>
                <w:sz w:val="23"/>
                <w:szCs w:val="23"/>
              </w:rPr>
            </w:pPr>
            <w:r>
              <w:rPr>
                <w:rFonts w:ascii="宋体" w:hAnsi="宋体" w:eastAsia="宋体" w:cs="宋体"/>
                <w:spacing w:val="12"/>
                <w:sz w:val="23"/>
                <w:szCs w:val="23"/>
              </w:rPr>
              <w:t>采</w:t>
            </w:r>
            <w:r>
              <w:rPr>
                <w:rFonts w:ascii="宋体" w:hAnsi="宋体" w:eastAsia="宋体" w:cs="宋体"/>
                <w:spacing w:val="9"/>
                <w:sz w:val="23"/>
                <w:szCs w:val="23"/>
              </w:rPr>
              <w:t>购项目名称、项目编号、供应商名称、年月日。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9" w:type="pct"/>
            <w:vAlign w:val="top"/>
          </w:tcPr>
          <w:p>
            <w:pPr>
              <w:spacing w:before="309"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19</w:t>
            </w:r>
          </w:p>
        </w:tc>
        <w:tc>
          <w:tcPr>
            <w:tcW w:w="1337" w:type="pct"/>
            <w:vAlign w:val="top"/>
          </w:tcPr>
          <w:p>
            <w:pPr>
              <w:spacing w:before="272" w:line="227" w:lineRule="auto"/>
              <w:ind w:left="227"/>
              <w:rPr>
                <w:rFonts w:ascii="宋体" w:hAnsi="宋体" w:eastAsia="宋体" w:cs="宋体"/>
                <w:sz w:val="23"/>
                <w:szCs w:val="23"/>
              </w:rPr>
            </w:pPr>
            <w:r>
              <w:rPr>
                <w:rFonts w:ascii="宋体" w:hAnsi="宋体" w:eastAsia="宋体" w:cs="宋体"/>
                <w:spacing w:val="13"/>
                <w:sz w:val="23"/>
                <w:szCs w:val="23"/>
              </w:rPr>
              <w:t>递</w:t>
            </w:r>
            <w:r>
              <w:rPr>
                <w:rFonts w:ascii="宋体" w:hAnsi="宋体" w:eastAsia="宋体" w:cs="宋体"/>
                <w:spacing w:val="8"/>
                <w:sz w:val="23"/>
                <w:szCs w:val="23"/>
              </w:rPr>
              <w:t>交响应文件</w:t>
            </w:r>
            <w:r>
              <w:rPr>
                <w:rFonts w:hint="eastAsia" w:ascii="宋体" w:hAnsi="宋体" w:eastAsia="宋体" w:cs="宋体"/>
                <w:sz w:val="23"/>
                <w:szCs w:val="23"/>
                <w:lang w:eastAsia="zh-CN"/>
              </w:rPr>
              <w:t>递交截止时间和</w:t>
            </w:r>
            <w:r>
              <w:rPr>
                <w:rFonts w:ascii="宋体" w:hAnsi="宋体" w:eastAsia="宋体" w:cs="宋体"/>
                <w:spacing w:val="8"/>
                <w:sz w:val="23"/>
                <w:szCs w:val="23"/>
              </w:rPr>
              <w:t>地点</w:t>
            </w:r>
          </w:p>
        </w:tc>
        <w:tc>
          <w:tcPr>
            <w:tcW w:w="3183" w:type="pct"/>
            <w:vAlign w:val="top"/>
          </w:tcPr>
          <w:p>
            <w:pPr>
              <w:spacing w:line="227" w:lineRule="auto"/>
              <w:ind w:left="112"/>
              <w:rPr>
                <w:rFonts w:hint="eastAsia" w:ascii="宋体" w:hAnsi="宋体" w:eastAsia="宋体" w:cs="宋体"/>
                <w:sz w:val="23"/>
                <w:szCs w:val="23"/>
                <w:lang w:eastAsia="zh-CN"/>
              </w:rPr>
            </w:pPr>
            <w:r>
              <w:rPr>
                <w:rFonts w:hint="eastAsia" w:ascii="宋体" w:hAnsi="宋体" w:eastAsia="宋体" w:cs="宋体"/>
                <w:sz w:val="23"/>
                <w:szCs w:val="23"/>
                <w:lang w:eastAsia="zh-CN"/>
              </w:rPr>
              <w:t>递交截止时间：20</w:t>
            </w:r>
            <w:r>
              <w:rPr>
                <w:rFonts w:hint="eastAsia" w:ascii="宋体" w:hAnsi="宋体" w:eastAsia="宋体" w:cs="宋体"/>
                <w:sz w:val="23"/>
                <w:szCs w:val="23"/>
                <w:lang w:val="en-US" w:eastAsia="zh-CN"/>
              </w:rPr>
              <w:t>24</w:t>
            </w:r>
            <w:r>
              <w:rPr>
                <w:rFonts w:hint="eastAsia" w:ascii="宋体" w:hAnsi="宋体" w:eastAsia="宋体" w:cs="宋体"/>
                <w:sz w:val="23"/>
                <w:szCs w:val="23"/>
                <w:lang w:eastAsia="zh-CN"/>
              </w:rPr>
              <w:t>年</w:t>
            </w:r>
            <w:r>
              <w:rPr>
                <w:rFonts w:hint="eastAsia" w:ascii="宋体" w:hAnsi="宋体" w:eastAsia="宋体" w:cs="宋体"/>
                <w:sz w:val="23"/>
                <w:szCs w:val="23"/>
                <w:lang w:val="en-US" w:eastAsia="zh-CN"/>
              </w:rPr>
              <w:t>12</w:t>
            </w:r>
            <w:r>
              <w:rPr>
                <w:rFonts w:hint="eastAsia" w:ascii="宋体" w:hAnsi="宋体" w:eastAsia="宋体" w:cs="宋体"/>
                <w:sz w:val="23"/>
                <w:szCs w:val="23"/>
                <w:lang w:eastAsia="zh-CN"/>
              </w:rPr>
              <w:t>月</w:t>
            </w:r>
            <w:r>
              <w:rPr>
                <w:rFonts w:hint="eastAsia" w:ascii="宋体" w:hAnsi="宋体" w:eastAsia="宋体" w:cs="宋体"/>
                <w:sz w:val="23"/>
                <w:szCs w:val="23"/>
                <w:lang w:val="en-US" w:eastAsia="zh-CN"/>
              </w:rPr>
              <w:t>17</w:t>
            </w:r>
            <w:r>
              <w:rPr>
                <w:rFonts w:hint="eastAsia" w:ascii="宋体" w:hAnsi="宋体" w:eastAsia="宋体" w:cs="宋体"/>
                <w:sz w:val="23"/>
                <w:szCs w:val="23"/>
                <w:lang w:eastAsia="zh-CN"/>
              </w:rPr>
              <w:t>日</w:t>
            </w:r>
            <w:r>
              <w:rPr>
                <w:rFonts w:hint="eastAsia" w:ascii="宋体" w:hAnsi="宋体" w:eastAsia="宋体" w:cs="宋体"/>
                <w:sz w:val="23"/>
                <w:szCs w:val="23"/>
                <w:lang w:val="en-US" w:eastAsia="zh-CN"/>
              </w:rPr>
              <w:t>9：00</w:t>
            </w:r>
            <w:r>
              <w:rPr>
                <w:rFonts w:hint="eastAsia" w:ascii="宋体" w:hAnsi="宋体" w:eastAsia="宋体" w:cs="宋体"/>
                <w:sz w:val="23"/>
                <w:szCs w:val="23"/>
                <w:lang w:eastAsia="zh-CN"/>
              </w:rPr>
              <w:t>（北京时间）</w:t>
            </w:r>
          </w:p>
          <w:p>
            <w:pPr>
              <w:spacing w:line="227" w:lineRule="auto"/>
              <w:ind w:left="112"/>
              <w:rPr>
                <w:rFonts w:ascii="宋体" w:hAnsi="宋体" w:eastAsia="宋体" w:cs="宋体"/>
                <w:sz w:val="23"/>
                <w:szCs w:val="23"/>
              </w:rPr>
            </w:pPr>
            <w:r>
              <w:rPr>
                <w:rFonts w:hint="eastAsia" w:ascii="宋体" w:hAnsi="宋体" w:eastAsia="宋体" w:cs="宋体"/>
                <w:sz w:val="23"/>
                <w:szCs w:val="23"/>
                <w:lang w:eastAsia="zh-CN"/>
              </w:rPr>
              <w:t>递交</w:t>
            </w:r>
            <w:r>
              <w:rPr>
                <w:rFonts w:ascii="宋体" w:hAnsi="宋体" w:eastAsia="宋体" w:cs="宋体"/>
                <w:spacing w:val="8"/>
                <w:sz w:val="23"/>
                <w:szCs w:val="23"/>
              </w:rPr>
              <w:t>地点</w:t>
            </w:r>
            <w:r>
              <w:rPr>
                <w:rFonts w:hint="eastAsia" w:ascii="宋体" w:hAnsi="宋体" w:eastAsia="宋体" w:cs="宋体"/>
                <w:spacing w:val="8"/>
                <w:sz w:val="23"/>
                <w:szCs w:val="23"/>
                <w:lang w:eastAsia="zh-CN"/>
              </w:rPr>
              <w:t>：</w:t>
            </w:r>
            <w:r>
              <w:rPr>
                <w:rFonts w:hint="eastAsia" w:ascii="宋体" w:hAnsi="宋体" w:eastAsia="宋体" w:cs="宋体"/>
                <w:sz w:val="23"/>
                <w:szCs w:val="23"/>
                <w:lang w:eastAsia="zh-CN"/>
              </w:rPr>
              <w:t>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9" w:type="pct"/>
            <w:vAlign w:val="top"/>
          </w:tcPr>
          <w:p>
            <w:pPr>
              <w:spacing w:before="309" w:line="192" w:lineRule="auto"/>
              <w:ind w:left="329"/>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20</w:t>
            </w:r>
          </w:p>
        </w:tc>
        <w:tc>
          <w:tcPr>
            <w:tcW w:w="1337" w:type="pct"/>
            <w:vAlign w:val="top"/>
          </w:tcPr>
          <w:p>
            <w:pPr>
              <w:spacing w:before="272" w:line="228" w:lineRule="auto"/>
              <w:ind w:left="345"/>
              <w:rPr>
                <w:rFonts w:ascii="宋体" w:hAnsi="宋体" w:eastAsia="宋体" w:cs="宋体"/>
                <w:sz w:val="23"/>
                <w:szCs w:val="23"/>
              </w:rPr>
            </w:pPr>
            <w:r>
              <w:rPr>
                <w:rFonts w:ascii="宋体" w:hAnsi="宋体" w:eastAsia="宋体" w:cs="宋体"/>
                <w:spacing w:val="9"/>
                <w:sz w:val="23"/>
                <w:szCs w:val="23"/>
              </w:rPr>
              <w:t>磋商时间和地</w:t>
            </w:r>
            <w:r>
              <w:rPr>
                <w:rFonts w:ascii="宋体" w:hAnsi="宋体" w:eastAsia="宋体" w:cs="宋体"/>
                <w:spacing w:val="7"/>
                <w:sz w:val="23"/>
                <w:szCs w:val="23"/>
              </w:rPr>
              <w:t>点</w:t>
            </w:r>
          </w:p>
        </w:tc>
        <w:tc>
          <w:tcPr>
            <w:tcW w:w="3183" w:type="pct"/>
            <w:vAlign w:val="top"/>
          </w:tcPr>
          <w:p>
            <w:pPr>
              <w:spacing w:before="39" w:line="228" w:lineRule="auto"/>
              <w:ind w:left="113"/>
              <w:rPr>
                <w:rFonts w:ascii="宋体" w:hAnsi="宋体" w:eastAsia="宋体" w:cs="宋体"/>
                <w:sz w:val="23"/>
                <w:szCs w:val="23"/>
              </w:rPr>
            </w:pPr>
            <w:r>
              <w:rPr>
                <w:rFonts w:ascii="宋体" w:hAnsi="宋体" w:eastAsia="宋体" w:cs="宋体"/>
                <w:spacing w:val="15"/>
                <w:sz w:val="23"/>
                <w:szCs w:val="23"/>
              </w:rPr>
              <w:t>磋</w:t>
            </w:r>
            <w:r>
              <w:rPr>
                <w:rFonts w:ascii="宋体" w:hAnsi="宋体" w:eastAsia="宋体" w:cs="宋体"/>
                <w:spacing w:val="8"/>
                <w:sz w:val="23"/>
                <w:szCs w:val="23"/>
              </w:rPr>
              <w:t>商时间：</w:t>
            </w:r>
            <w:r>
              <w:rPr>
                <w:rFonts w:hint="eastAsia" w:ascii="宋体" w:hAnsi="宋体" w:eastAsia="宋体" w:cs="宋体"/>
                <w:spacing w:val="8"/>
                <w:sz w:val="23"/>
                <w:szCs w:val="23"/>
              </w:rPr>
              <w:t>20</w:t>
            </w:r>
            <w:r>
              <w:rPr>
                <w:rFonts w:hint="eastAsia" w:ascii="宋体" w:hAnsi="宋体" w:eastAsia="宋体" w:cs="宋体"/>
                <w:spacing w:val="8"/>
                <w:sz w:val="23"/>
                <w:szCs w:val="23"/>
                <w:lang w:val="en-US" w:eastAsia="zh-CN"/>
              </w:rPr>
              <w:t>24</w:t>
            </w:r>
            <w:r>
              <w:rPr>
                <w:rFonts w:hint="eastAsia" w:ascii="宋体" w:hAnsi="宋体" w:eastAsia="宋体" w:cs="宋体"/>
                <w:spacing w:val="8"/>
                <w:sz w:val="23"/>
                <w:szCs w:val="23"/>
              </w:rPr>
              <w:t>年</w:t>
            </w:r>
            <w:r>
              <w:rPr>
                <w:rFonts w:hint="eastAsia" w:ascii="宋体" w:hAnsi="宋体" w:eastAsia="宋体" w:cs="宋体"/>
                <w:spacing w:val="8"/>
                <w:sz w:val="23"/>
                <w:szCs w:val="23"/>
                <w:lang w:val="en-US" w:eastAsia="zh-CN"/>
              </w:rPr>
              <w:t>12</w:t>
            </w:r>
            <w:r>
              <w:rPr>
                <w:rFonts w:hint="eastAsia" w:ascii="宋体" w:hAnsi="宋体" w:eastAsia="宋体" w:cs="宋体"/>
                <w:spacing w:val="8"/>
                <w:sz w:val="23"/>
                <w:szCs w:val="23"/>
              </w:rPr>
              <w:t>月</w:t>
            </w:r>
            <w:r>
              <w:rPr>
                <w:rFonts w:hint="eastAsia" w:ascii="宋体" w:hAnsi="宋体" w:eastAsia="宋体" w:cs="宋体"/>
                <w:spacing w:val="8"/>
                <w:sz w:val="23"/>
                <w:szCs w:val="23"/>
                <w:lang w:val="en-US" w:eastAsia="zh-CN"/>
              </w:rPr>
              <w:t>17</w:t>
            </w:r>
            <w:r>
              <w:rPr>
                <w:rFonts w:hint="eastAsia" w:ascii="宋体" w:hAnsi="宋体" w:eastAsia="宋体" w:cs="宋体"/>
                <w:spacing w:val="8"/>
                <w:sz w:val="23"/>
                <w:szCs w:val="23"/>
              </w:rPr>
              <w:t>日</w:t>
            </w:r>
            <w:r>
              <w:rPr>
                <w:rFonts w:hint="eastAsia" w:ascii="宋体" w:hAnsi="宋体" w:eastAsia="宋体" w:cs="宋体"/>
                <w:sz w:val="23"/>
                <w:szCs w:val="23"/>
                <w:lang w:val="en-US" w:eastAsia="zh-CN"/>
              </w:rPr>
              <w:t>9：00</w:t>
            </w:r>
            <w:r>
              <w:rPr>
                <w:rFonts w:hint="eastAsia" w:ascii="宋体" w:hAnsi="宋体" w:eastAsia="宋体" w:cs="宋体"/>
                <w:spacing w:val="8"/>
                <w:sz w:val="23"/>
                <w:szCs w:val="23"/>
              </w:rPr>
              <w:t>（北京时间）</w:t>
            </w:r>
          </w:p>
          <w:p>
            <w:pPr>
              <w:spacing w:before="181" w:line="228" w:lineRule="auto"/>
              <w:ind w:left="113"/>
              <w:rPr>
                <w:rFonts w:ascii="宋体" w:hAnsi="宋体" w:eastAsia="宋体" w:cs="宋体"/>
                <w:sz w:val="23"/>
                <w:szCs w:val="23"/>
              </w:rPr>
            </w:pPr>
            <w:r>
              <w:rPr>
                <w:rFonts w:ascii="宋体" w:hAnsi="宋体" w:eastAsia="宋体" w:cs="宋体"/>
                <w:spacing w:val="16"/>
                <w:sz w:val="23"/>
                <w:szCs w:val="23"/>
              </w:rPr>
              <w:t>磋</w:t>
            </w:r>
            <w:r>
              <w:rPr>
                <w:rFonts w:ascii="宋体" w:hAnsi="宋体" w:eastAsia="宋体" w:cs="宋体"/>
                <w:spacing w:val="11"/>
                <w:sz w:val="23"/>
                <w:szCs w:val="23"/>
              </w:rPr>
              <w:t>商</w:t>
            </w:r>
            <w:r>
              <w:rPr>
                <w:rFonts w:ascii="宋体" w:hAnsi="宋体" w:eastAsia="宋体" w:cs="宋体"/>
                <w:spacing w:val="8"/>
                <w:sz w:val="23"/>
                <w:szCs w:val="23"/>
              </w:rPr>
              <w:t>地点：</w:t>
            </w:r>
            <w:r>
              <w:rPr>
                <w:rFonts w:hint="eastAsia" w:ascii="宋体" w:hAnsi="宋体" w:eastAsia="宋体" w:cs="宋体"/>
                <w:spacing w:val="8"/>
                <w:sz w:val="23"/>
                <w:szCs w:val="23"/>
              </w:rPr>
              <w:t>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9" w:type="pct"/>
            <w:vAlign w:val="top"/>
          </w:tcPr>
          <w:p>
            <w:pPr>
              <w:spacing w:before="108" w:line="190" w:lineRule="auto"/>
              <w:ind w:left="329"/>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21</w:t>
            </w:r>
          </w:p>
        </w:tc>
        <w:tc>
          <w:tcPr>
            <w:tcW w:w="1337" w:type="pct"/>
            <w:vAlign w:val="top"/>
          </w:tcPr>
          <w:p>
            <w:pPr>
              <w:spacing w:before="70" w:line="228" w:lineRule="auto"/>
              <w:ind w:left="585"/>
              <w:rPr>
                <w:rFonts w:ascii="宋体" w:hAnsi="宋体" w:eastAsia="宋体" w:cs="宋体"/>
                <w:sz w:val="23"/>
                <w:szCs w:val="23"/>
              </w:rPr>
            </w:pPr>
            <w:r>
              <w:rPr>
                <w:rFonts w:ascii="宋体" w:hAnsi="宋体" w:eastAsia="宋体" w:cs="宋体"/>
                <w:spacing w:val="9"/>
                <w:sz w:val="23"/>
                <w:szCs w:val="23"/>
              </w:rPr>
              <w:t>磋</w:t>
            </w:r>
            <w:r>
              <w:rPr>
                <w:rFonts w:ascii="宋体" w:hAnsi="宋体" w:eastAsia="宋体" w:cs="宋体"/>
                <w:spacing w:val="8"/>
                <w:sz w:val="23"/>
                <w:szCs w:val="23"/>
              </w:rPr>
              <w:t>商保证金</w:t>
            </w:r>
          </w:p>
        </w:tc>
        <w:tc>
          <w:tcPr>
            <w:tcW w:w="3183" w:type="pct"/>
            <w:vAlign w:val="top"/>
          </w:tcPr>
          <w:p>
            <w:pPr>
              <w:spacing w:before="149" w:line="227" w:lineRule="auto"/>
              <w:ind w:left="11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项目不需要缴纳磋商保证金。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79" w:type="pct"/>
            <w:vAlign w:val="top"/>
          </w:tcPr>
          <w:p>
            <w:pPr>
              <w:spacing w:before="183"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22</w:t>
            </w:r>
          </w:p>
        </w:tc>
        <w:tc>
          <w:tcPr>
            <w:tcW w:w="1337" w:type="pct"/>
            <w:vAlign w:val="top"/>
          </w:tcPr>
          <w:p>
            <w:pPr>
              <w:spacing w:before="145" w:line="228" w:lineRule="auto"/>
              <w:ind w:left="590"/>
              <w:rPr>
                <w:rFonts w:ascii="宋体" w:hAnsi="宋体" w:eastAsia="宋体" w:cs="宋体"/>
                <w:sz w:val="23"/>
                <w:szCs w:val="23"/>
              </w:rPr>
            </w:pPr>
            <w:r>
              <w:rPr>
                <w:rFonts w:ascii="宋体" w:hAnsi="宋体" w:eastAsia="宋体" w:cs="宋体"/>
                <w:spacing w:val="8"/>
                <w:sz w:val="23"/>
                <w:szCs w:val="23"/>
              </w:rPr>
              <w:t>履</w:t>
            </w:r>
            <w:r>
              <w:rPr>
                <w:rFonts w:ascii="宋体" w:hAnsi="宋体" w:eastAsia="宋体" w:cs="宋体"/>
                <w:spacing w:val="7"/>
                <w:sz w:val="23"/>
                <w:szCs w:val="23"/>
              </w:rPr>
              <w:t>约保证金</w:t>
            </w:r>
          </w:p>
        </w:tc>
        <w:tc>
          <w:tcPr>
            <w:tcW w:w="3183" w:type="pct"/>
            <w:vAlign w:val="top"/>
          </w:tcPr>
          <w:p>
            <w:pPr>
              <w:spacing w:before="144" w:line="227" w:lineRule="auto"/>
              <w:ind w:left="115"/>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79" w:type="pct"/>
            <w:vAlign w:val="top"/>
          </w:tcPr>
          <w:p>
            <w:pPr>
              <w:spacing w:before="310"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23</w:t>
            </w:r>
          </w:p>
        </w:tc>
        <w:tc>
          <w:tcPr>
            <w:tcW w:w="1337" w:type="pct"/>
            <w:vAlign w:val="top"/>
          </w:tcPr>
          <w:p>
            <w:pPr>
              <w:spacing w:before="39" w:line="466" w:lineRule="exact"/>
              <w:ind w:left="112"/>
              <w:rPr>
                <w:rFonts w:ascii="宋体" w:hAnsi="宋体" w:eastAsia="宋体" w:cs="宋体"/>
                <w:sz w:val="23"/>
                <w:szCs w:val="23"/>
              </w:rPr>
            </w:pPr>
            <w:r>
              <w:rPr>
                <w:rFonts w:ascii="宋体" w:hAnsi="宋体" w:eastAsia="宋体" w:cs="宋体"/>
                <w:spacing w:val="13"/>
                <w:position w:val="17"/>
                <w:sz w:val="23"/>
                <w:szCs w:val="23"/>
              </w:rPr>
              <w:t>磋</w:t>
            </w:r>
            <w:r>
              <w:rPr>
                <w:rFonts w:ascii="宋体" w:hAnsi="宋体" w:eastAsia="宋体" w:cs="宋体"/>
                <w:spacing w:val="7"/>
                <w:position w:val="17"/>
                <w:sz w:val="23"/>
                <w:szCs w:val="23"/>
              </w:rPr>
              <w:t>商文件、评审工作</w:t>
            </w:r>
          </w:p>
          <w:p>
            <w:pPr>
              <w:spacing w:line="228" w:lineRule="auto"/>
              <w:ind w:left="955"/>
              <w:rPr>
                <w:rFonts w:ascii="宋体" w:hAnsi="宋体" w:eastAsia="宋体" w:cs="宋体"/>
                <w:sz w:val="23"/>
                <w:szCs w:val="23"/>
              </w:rPr>
            </w:pPr>
            <w:r>
              <w:rPr>
                <w:rFonts w:ascii="宋体" w:hAnsi="宋体" w:eastAsia="宋体" w:cs="宋体"/>
                <w:spacing w:val="1"/>
                <w:sz w:val="23"/>
                <w:szCs w:val="23"/>
              </w:rPr>
              <w:t>咨</w:t>
            </w:r>
            <w:r>
              <w:rPr>
                <w:rFonts w:ascii="宋体" w:hAnsi="宋体" w:eastAsia="宋体" w:cs="宋体"/>
                <w:sz w:val="23"/>
                <w:szCs w:val="23"/>
              </w:rPr>
              <w:t>询</w:t>
            </w:r>
          </w:p>
        </w:tc>
        <w:tc>
          <w:tcPr>
            <w:tcW w:w="3183" w:type="pct"/>
            <w:vAlign w:val="top"/>
          </w:tcPr>
          <w:p>
            <w:pPr>
              <w:spacing w:before="39" w:line="228" w:lineRule="auto"/>
              <w:ind w:left="113"/>
              <w:rPr>
                <w:rFonts w:hint="eastAsia" w:ascii="宋体" w:hAnsi="宋体" w:eastAsia="宋体" w:cs="宋体"/>
                <w:spacing w:val="8"/>
                <w:sz w:val="23"/>
                <w:szCs w:val="23"/>
                <w:lang w:eastAsia="zh-CN"/>
              </w:rPr>
            </w:pPr>
            <w:r>
              <w:rPr>
                <w:rFonts w:hint="eastAsia" w:ascii="宋体" w:hAnsi="宋体" w:eastAsia="宋体" w:cs="宋体"/>
                <w:snapToGrid w:val="0"/>
                <w:color w:val="000000"/>
                <w:spacing w:val="7"/>
                <w:kern w:val="0"/>
                <w:sz w:val="23"/>
                <w:szCs w:val="23"/>
              </w:rPr>
              <w:t>联系人：</w:t>
            </w:r>
            <w:r>
              <w:rPr>
                <w:rFonts w:hint="eastAsia" w:ascii="宋体" w:hAnsi="宋体" w:eastAsia="宋体" w:cs="宋体"/>
                <w:snapToGrid w:val="0"/>
                <w:color w:val="000000"/>
                <w:spacing w:val="7"/>
                <w:kern w:val="0"/>
                <w:sz w:val="23"/>
                <w:szCs w:val="23"/>
                <w:lang w:val="en-US" w:eastAsia="zh-CN"/>
              </w:rPr>
              <w:t xml:space="preserve">  </w:t>
            </w:r>
            <w:r>
              <w:rPr>
                <w:rFonts w:hint="eastAsia" w:ascii="宋体" w:hAnsi="宋体" w:eastAsia="宋体" w:cs="宋体"/>
                <w:snapToGrid w:val="0"/>
                <w:color w:val="000000"/>
                <w:spacing w:val="7"/>
                <w:kern w:val="0"/>
                <w:sz w:val="23"/>
                <w:szCs w:val="23"/>
                <w:lang w:eastAsia="zh-CN"/>
              </w:rPr>
              <w:t>向秋忆</w:t>
            </w:r>
          </w:p>
          <w:p>
            <w:pPr>
              <w:spacing w:before="39" w:line="228" w:lineRule="auto"/>
              <w:ind w:left="113"/>
              <w:rPr>
                <w:rFonts w:hint="default" w:ascii="宋体" w:hAnsi="宋体" w:eastAsia="宋体" w:cs="宋体"/>
                <w:sz w:val="23"/>
                <w:szCs w:val="23"/>
                <w:lang w:val="en-US"/>
              </w:rPr>
            </w:pPr>
            <w:r>
              <w:rPr>
                <w:rFonts w:hint="eastAsia" w:ascii="宋体" w:hAnsi="宋体" w:eastAsia="宋体" w:cs="宋体"/>
                <w:spacing w:val="8"/>
                <w:sz w:val="23"/>
                <w:szCs w:val="23"/>
                <w:lang w:eastAsia="zh-CN"/>
              </w:rPr>
              <w:t>联系电话：</w:t>
            </w:r>
            <w:r>
              <w:rPr>
                <w:rFonts w:hint="eastAsia" w:ascii="宋体" w:hAnsi="宋体" w:eastAsia="宋体" w:cs="宋体"/>
                <w:spacing w:val="8"/>
                <w:sz w:val="23"/>
                <w:szCs w:val="23"/>
                <w:lang w:val="en-US" w:eastAsia="zh-CN"/>
              </w:rPr>
              <w:t>0839—3262322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479" w:type="pct"/>
            <w:vAlign w:val="top"/>
          </w:tcPr>
          <w:p>
            <w:pPr>
              <w:spacing w:before="130" w:line="190" w:lineRule="auto"/>
              <w:ind w:left="329"/>
              <w:rPr>
                <w:rFonts w:hint="default" w:ascii="宋体" w:hAnsi="宋体" w:eastAsia="宋体" w:cs="宋体"/>
                <w:sz w:val="23"/>
                <w:szCs w:val="23"/>
                <w:lang w:val="en-US" w:eastAsia="zh-CN"/>
              </w:rPr>
            </w:pPr>
            <w:r>
              <w:rPr>
                <w:rFonts w:hint="eastAsia" w:ascii="宋体" w:hAnsi="宋体" w:eastAsia="宋体" w:cs="宋体"/>
                <w:spacing w:val="-2"/>
                <w:sz w:val="23"/>
                <w:szCs w:val="23"/>
                <w:lang w:val="en-US" w:eastAsia="zh-CN"/>
              </w:rPr>
              <w:t>24</w:t>
            </w:r>
          </w:p>
        </w:tc>
        <w:tc>
          <w:tcPr>
            <w:tcW w:w="1337" w:type="pct"/>
            <w:vAlign w:val="top"/>
          </w:tcPr>
          <w:p>
            <w:pPr>
              <w:spacing w:before="92" w:line="227" w:lineRule="auto"/>
              <w:ind w:left="348"/>
              <w:rPr>
                <w:rFonts w:ascii="宋体" w:hAnsi="宋体" w:eastAsia="宋体" w:cs="宋体"/>
                <w:sz w:val="23"/>
                <w:szCs w:val="23"/>
              </w:rPr>
            </w:pPr>
            <w:r>
              <w:rPr>
                <w:rFonts w:ascii="宋体" w:hAnsi="宋体" w:eastAsia="宋体" w:cs="宋体"/>
                <w:spacing w:val="10"/>
                <w:sz w:val="23"/>
                <w:szCs w:val="23"/>
              </w:rPr>
              <w:t>成</w:t>
            </w:r>
            <w:r>
              <w:rPr>
                <w:rFonts w:ascii="宋体" w:hAnsi="宋体" w:eastAsia="宋体" w:cs="宋体"/>
                <w:spacing w:val="8"/>
                <w:sz w:val="23"/>
                <w:szCs w:val="23"/>
              </w:rPr>
              <w:t>交通知书领取</w:t>
            </w:r>
          </w:p>
        </w:tc>
        <w:tc>
          <w:tcPr>
            <w:tcW w:w="3183" w:type="pct"/>
            <w:vAlign w:val="top"/>
          </w:tcPr>
          <w:p>
            <w:pPr>
              <w:spacing w:before="92" w:line="226" w:lineRule="auto"/>
              <w:ind w:left="120"/>
              <w:rPr>
                <w:rFonts w:hint="eastAsia" w:ascii="宋体" w:hAnsi="宋体" w:eastAsia="宋体" w:cs="宋体"/>
                <w:sz w:val="23"/>
                <w:szCs w:val="23"/>
                <w:lang w:eastAsia="zh-CN"/>
              </w:rPr>
            </w:pPr>
            <w:r>
              <w:rPr>
                <w:rFonts w:ascii="宋体" w:hAnsi="宋体" w:eastAsia="宋体" w:cs="宋体"/>
                <w:spacing w:val="18"/>
                <w:sz w:val="23"/>
                <w:szCs w:val="23"/>
              </w:rPr>
              <w:t>结</w:t>
            </w:r>
            <w:r>
              <w:rPr>
                <w:rFonts w:ascii="宋体" w:hAnsi="宋体" w:eastAsia="宋体" w:cs="宋体"/>
                <w:spacing w:val="10"/>
                <w:sz w:val="23"/>
                <w:szCs w:val="23"/>
              </w:rPr>
              <w:t>果</w:t>
            </w:r>
            <w:r>
              <w:rPr>
                <w:rFonts w:ascii="宋体" w:hAnsi="宋体" w:eastAsia="宋体" w:cs="宋体"/>
                <w:spacing w:val="9"/>
                <w:sz w:val="23"/>
                <w:szCs w:val="23"/>
              </w:rPr>
              <w:t>公告在</w:t>
            </w:r>
            <w:r>
              <w:rPr>
                <w:rFonts w:ascii="宋体" w:hAnsi="宋体" w:eastAsia="宋体" w:cs="宋体"/>
                <w:spacing w:val="6"/>
                <w:sz w:val="23"/>
                <w:szCs w:val="23"/>
              </w:rPr>
              <w:t>“</w:t>
            </w:r>
            <w:r>
              <w:rPr>
                <w:rFonts w:hint="eastAsia" w:ascii="宋体" w:hAnsi="宋体" w:eastAsia="宋体" w:cs="宋体"/>
                <w:spacing w:val="6"/>
                <w:sz w:val="23"/>
                <w:szCs w:val="23"/>
                <w:lang w:val="en-US" w:eastAsia="zh-CN"/>
              </w:rPr>
              <w:t>广元市科学技术协会</w:t>
            </w:r>
            <w:r>
              <w:rPr>
                <w:rFonts w:hint="eastAsia" w:ascii="宋体" w:hAnsi="宋体" w:eastAsia="宋体" w:cs="宋体"/>
                <w:spacing w:val="6"/>
                <w:sz w:val="23"/>
                <w:szCs w:val="23"/>
              </w:rPr>
              <w:t>http://www.gyskx.gov.cn/htm/index.htm</w:t>
            </w:r>
            <w:r>
              <w:rPr>
                <w:rFonts w:ascii="宋体" w:hAnsi="宋体" w:eastAsia="宋体" w:cs="宋体"/>
                <w:spacing w:val="9"/>
                <w:sz w:val="23"/>
                <w:szCs w:val="23"/>
              </w:rPr>
              <w:t>”上公告后</w:t>
            </w:r>
            <w:r>
              <w:rPr>
                <w:rFonts w:hint="eastAsia" w:ascii="宋体" w:hAnsi="宋体" w:eastAsia="宋体" w:cs="宋体"/>
                <w:spacing w:val="9"/>
                <w:sz w:val="23"/>
                <w:szCs w:val="23"/>
                <w:lang w:val="en-US" w:eastAsia="zh-CN"/>
              </w:rPr>
              <w:t>7个工作日无异议后</w:t>
            </w:r>
            <w:r>
              <w:rPr>
                <w:rFonts w:ascii="宋体" w:hAnsi="宋体" w:eastAsia="宋体" w:cs="宋体"/>
                <w:spacing w:val="9"/>
                <w:sz w:val="23"/>
                <w:szCs w:val="23"/>
              </w:rPr>
              <w:t>，成交供应商凭有</w:t>
            </w:r>
            <w:r>
              <w:rPr>
                <w:rFonts w:ascii="宋体" w:hAnsi="宋体" w:eastAsia="宋体" w:cs="宋体"/>
                <w:spacing w:val="16"/>
                <w:sz w:val="23"/>
                <w:szCs w:val="23"/>
              </w:rPr>
              <w:t>效身</w:t>
            </w:r>
            <w:r>
              <w:rPr>
                <w:rFonts w:ascii="宋体" w:hAnsi="宋体" w:eastAsia="宋体" w:cs="宋体"/>
                <w:spacing w:val="12"/>
                <w:sz w:val="23"/>
                <w:szCs w:val="23"/>
              </w:rPr>
              <w:t>份</w:t>
            </w:r>
            <w:r>
              <w:rPr>
                <w:rFonts w:ascii="宋体" w:hAnsi="宋体" w:eastAsia="宋体" w:cs="宋体"/>
                <w:spacing w:val="8"/>
                <w:sz w:val="23"/>
                <w:szCs w:val="23"/>
              </w:rPr>
              <w:t>证明证件 (单位介绍信和个人身份证)</w:t>
            </w:r>
            <w:r>
              <w:rPr>
                <w:rFonts w:ascii="宋体" w:hAnsi="宋体" w:eastAsia="宋体" w:cs="宋体"/>
                <w:spacing w:val="7"/>
                <w:sz w:val="23"/>
                <w:szCs w:val="23"/>
              </w:rPr>
              <w:t>领取成交通知书</w:t>
            </w:r>
            <w:r>
              <w:rPr>
                <w:rFonts w:hint="eastAsia" w:ascii="宋体" w:hAnsi="宋体" w:eastAsia="宋体" w:cs="宋体"/>
                <w:spacing w:val="7"/>
                <w:sz w:val="23"/>
                <w:szCs w:val="23"/>
                <w:lang w:eastAsia="zh-CN"/>
              </w:rPr>
              <w:t>。</w:t>
            </w:r>
          </w:p>
        </w:tc>
      </w:tr>
    </w:tbl>
    <w:p>
      <w:pPr>
        <w:rPr>
          <w:rFonts w:ascii="Arial"/>
          <w:sz w:val="21"/>
        </w:rPr>
      </w:pPr>
    </w:p>
    <w:p>
      <w:pPr>
        <w:spacing w:line="300" w:lineRule="exact"/>
        <w:ind w:firstLine="112"/>
        <w:textAlignment w:val="center"/>
      </w:pPr>
    </w:p>
    <w:p>
      <w:pPr>
        <w:spacing w:line="19" w:lineRule="exact"/>
      </w:pPr>
    </w:p>
    <w:tbl>
      <w:tblPr>
        <w:tblStyle w:val="22"/>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0"/>
        <w:gridCol w:w="2339"/>
        <w:gridCol w:w="58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479" w:type="pct"/>
            <w:vAlign w:val="top"/>
          </w:tcPr>
          <w:p>
            <w:pPr>
              <w:rPr>
                <w:rFonts w:ascii="Arial"/>
                <w:sz w:val="21"/>
              </w:rPr>
            </w:pPr>
          </w:p>
        </w:tc>
        <w:tc>
          <w:tcPr>
            <w:tcW w:w="1288" w:type="pct"/>
            <w:vAlign w:val="top"/>
          </w:tcPr>
          <w:p>
            <w:pPr>
              <w:rPr>
                <w:rFonts w:ascii="Arial"/>
                <w:sz w:val="21"/>
              </w:rPr>
            </w:pPr>
          </w:p>
        </w:tc>
        <w:tc>
          <w:tcPr>
            <w:tcW w:w="3231" w:type="pct"/>
            <w:vAlign w:val="top"/>
          </w:tcPr>
          <w:p>
            <w:pPr>
              <w:pStyle w:val="1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snapToGrid w:val="0"/>
                <w:color w:val="000000"/>
                <w:spacing w:val="7"/>
                <w:kern w:val="0"/>
                <w:sz w:val="23"/>
                <w:szCs w:val="23"/>
                <w:lang w:eastAsia="zh-CN"/>
              </w:rPr>
            </w:pPr>
            <w:r>
              <w:rPr>
                <w:rFonts w:hint="eastAsia" w:ascii="宋体" w:hAnsi="宋体" w:eastAsia="宋体" w:cs="宋体"/>
                <w:snapToGrid w:val="0"/>
                <w:color w:val="000000"/>
                <w:spacing w:val="7"/>
                <w:kern w:val="0"/>
                <w:sz w:val="23"/>
                <w:szCs w:val="23"/>
              </w:rPr>
              <w:t>联系人：</w:t>
            </w:r>
            <w:r>
              <w:rPr>
                <w:rFonts w:hint="eastAsia" w:ascii="宋体" w:hAnsi="宋体" w:eastAsia="宋体" w:cs="宋体"/>
                <w:snapToGrid w:val="0"/>
                <w:color w:val="000000"/>
                <w:spacing w:val="7"/>
                <w:kern w:val="0"/>
                <w:sz w:val="23"/>
                <w:szCs w:val="23"/>
                <w:lang w:eastAsia="zh-CN"/>
              </w:rPr>
              <w:t>向秋忆</w:t>
            </w:r>
          </w:p>
          <w:p>
            <w:pPr>
              <w:pStyle w:val="1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360" w:lineRule="auto"/>
              <w:ind w:right="0"/>
              <w:jc w:val="both"/>
              <w:textAlignment w:val="auto"/>
              <w:rPr>
                <w:rFonts w:ascii="宋体" w:hAnsi="宋体" w:eastAsia="宋体" w:cs="宋体"/>
                <w:spacing w:val="8"/>
                <w:sz w:val="23"/>
                <w:szCs w:val="23"/>
              </w:rPr>
            </w:pPr>
            <w:r>
              <w:rPr>
                <w:rFonts w:hint="eastAsia" w:ascii="宋体" w:hAnsi="宋体" w:eastAsia="宋体" w:cs="宋体"/>
                <w:snapToGrid w:val="0"/>
                <w:color w:val="000000"/>
                <w:spacing w:val="7"/>
                <w:kern w:val="0"/>
                <w:sz w:val="23"/>
                <w:szCs w:val="23"/>
                <w:lang w:eastAsia="zh-CN"/>
              </w:rPr>
              <w:t>联系电话：</w:t>
            </w:r>
            <w:r>
              <w:rPr>
                <w:rFonts w:hint="eastAsia" w:ascii="宋体" w:hAnsi="宋体" w:eastAsia="宋体" w:cs="宋体"/>
                <w:snapToGrid w:val="0"/>
                <w:color w:val="000000"/>
                <w:spacing w:val="7"/>
                <w:kern w:val="0"/>
                <w:sz w:val="23"/>
                <w:szCs w:val="23"/>
                <w:lang w:val="en-US" w:eastAsia="zh-CN"/>
              </w:rPr>
              <w:t>0839—3262322</w:t>
            </w:r>
          </w:p>
          <w:p>
            <w:pPr>
              <w:keepNext w:val="0"/>
              <w:keepLines w:val="0"/>
              <w:pageBreakBefore w:val="0"/>
              <w:widowControl/>
              <w:overflowPunct/>
              <w:topLinePunct w:val="0"/>
              <w:bidi w:val="0"/>
              <w:spacing w:line="360" w:lineRule="auto"/>
              <w:rPr>
                <w:rFonts w:ascii="宋体" w:hAnsi="宋体" w:eastAsia="宋体" w:cs="宋体"/>
                <w:sz w:val="23"/>
                <w:szCs w:val="23"/>
              </w:rPr>
            </w:pPr>
            <w:r>
              <w:rPr>
                <w:rFonts w:ascii="宋体" w:hAnsi="宋体" w:eastAsia="宋体" w:cs="宋体"/>
                <w:spacing w:val="8"/>
                <w:sz w:val="23"/>
                <w:szCs w:val="23"/>
              </w:rPr>
              <w:t>地址：</w:t>
            </w:r>
            <w:r>
              <w:rPr>
                <w:rFonts w:hint="default" w:ascii="宋体" w:hAnsi="宋体" w:eastAsia="宋体" w:cs="宋体"/>
                <w:spacing w:val="8"/>
                <w:sz w:val="23"/>
                <w:szCs w:val="23"/>
                <w:lang w:val="en-US" w:eastAsia="zh-CN"/>
              </w:rPr>
              <w:t>四川省广元市利州区莲花路197号</w:t>
            </w:r>
            <w:r>
              <w:rPr>
                <w:rFonts w:hint="eastAsia" w:ascii="宋体" w:hAnsi="宋体" w:eastAsia="宋体" w:cs="宋体"/>
                <w:spacing w:val="8"/>
                <w:sz w:val="23"/>
                <w:szCs w:val="23"/>
                <w:lang w:val="en-US" w:eastAsia="zh-CN"/>
              </w:rPr>
              <w:t>。</w:t>
            </w:r>
          </w:p>
        </w:tc>
      </w:tr>
    </w:tbl>
    <w:p>
      <w:pPr>
        <w:pStyle w:val="4"/>
        <w:widowControl/>
        <w:numPr>
          <w:ilvl w:val="0"/>
          <w:numId w:val="8"/>
        </w:numPr>
        <w:topLinePunct w:val="0"/>
        <w:ind w:left="0" w:leftChars="0" w:firstLine="0" w:firstLineChars="0"/>
        <w:rPr>
          <w:b/>
        </w:rPr>
      </w:pPr>
      <w:r>
        <w:t>总则</w:t>
      </w:r>
    </w:p>
    <w:p>
      <w:pPr>
        <w:spacing w:line="360" w:lineRule="auto"/>
        <w:rPr>
          <w:rFonts w:ascii="Arial"/>
          <w:sz w:val="21"/>
        </w:rPr>
      </w:pPr>
    </w:p>
    <w:p>
      <w:pPr>
        <w:pStyle w:val="5"/>
        <w:widowControl/>
        <w:numPr>
          <w:ilvl w:val="0"/>
          <w:numId w:val="9"/>
        </w:numPr>
        <w:topLinePunct w:val="0"/>
        <w:ind w:left="0" w:leftChars="0" w:firstLine="0" w:firstLineChars="0"/>
        <w:rPr>
          <w:b/>
        </w:rPr>
      </w:pPr>
      <w:r>
        <w:t>适用范围</w:t>
      </w:r>
    </w:p>
    <w:p>
      <w:pPr>
        <w:pStyle w:val="2"/>
        <w:widowControl/>
        <w:numPr>
          <w:ilvl w:val="0"/>
          <w:numId w:val="10"/>
        </w:numPr>
        <w:ind w:left="0" w:leftChars="0" w:firstLine="480" w:firstLineChars="0"/>
        <w:rPr>
          <w:b w:val="0"/>
        </w:rPr>
      </w:pPr>
      <w:r>
        <w:t>本磋商文件仅适用于本次竞争性磋商所叙述项目的服务采购要求。</w:t>
      </w:r>
    </w:p>
    <w:p>
      <w:pPr>
        <w:pStyle w:val="2"/>
        <w:widowControl/>
        <w:numPr>
          <w:ilvl w:val="0"/>
          <w:numId w:val="10"/>
        </w:numPr>
        <w:ind w:left="0" w:leftChars="0" w:firstLine="480" w:firstLineChars="0"/>
        <w:rPr>
          <w:rFonts w:ascii="Arial"/>
          <w:sz w:val="21"/>
        </w:rPr>
      </w:pPr>
      <w:r>
        <w:t>本磋商文件的解释权归采购人所有。</w:t>
      </w:r>
    </w:p>
    <w:p>
      <w:pPr>
        <w:pStyle w:val="5"/>
        <w:widowControl/>
        <w:numPr>
          <w:ilvl w:val="0"/>
          <w:numId w:val="9"/>
        </w:numPr>
        <w:topLinePunct w:val="0"/>
        <w:ind w:left="0" w:leftChars="0" w:firstLine="0" w:firstLineChars="0"/>
        <w:rPr>
          <w:b/>
        </w:rPr>
      </w:pPr>
      <w:r>
        <w:t>采购主体</w:t>
      </w:r>
    </w:p>
    <w:p>
      <w:pPr>
        <w:pStyle w:val="2"/>
        <w:widowControl/>
        <w:numPr>
          <w:ilvl w:val="0"/>
          <w:numId w:val="11"/>
        </w:numPr>
        <w:ind w:left="0" w:leftChars="0" w:firstLine="480" w:firstLineChars="0"/>
        <w:rPr>
          <w:b w:val="0"/>
        </w:rPr>
      </w:pPr>
      <w:r>
        <w:t>“采购人”系指广元市科学技术协会。</w:t>
      </w:r>
    </w:p>
    <w:p>
      <w:pPr>
        <w:pStyle w:val="2"/>
        <w:widowControl/>
        <w:numPr>
          <w:ilvl w:val="0"/>
          <w:numId w:val="11"/>
        </w:numPr>
        <w:ind w:left="0" w:leftChars="0" w:firstLine="480" w:firstLineChars="0"/>
        <w:rPr>
          <w:b w:val="0"/>
        </w:rPr>
      </w:pPr>
      <w:r>
        <w:t>“供应商”系指领取了磋商文件拟参加磋商和向采购人提供货物及相应服务的供应商。</w:t>
      </w:r>
    </w:p>
    <w:p>
      <w:pPr>
        <w:pStyle w:val="5"/>
        <w:widowControl/>
        <w:numPr>
          <w:ilvl w:val="0"/>
          <w:numId w:val="9"/>
        </w:numPr>
        <w:topLinePunct w:val="0"/>
        <w:ind w:left="0" w:leftChars="0" w:firstLine="0" w:firstLineChars="0"/>
        <w:rPr>
          <w:b/>
        </w:rPr>
      </w:pPr>
      <w:r>
        <w:t>合格供应商 (实质性要求)</w:t>
      </w:r>
    </w:p>
    <w:p>
      <w:pPr>
        <w:pStyle w:val="2"/>
        <w:widowControl/>
      </w:pPr>
      <w:r>
        <w:t>合格的供应商应具备以下条件，否则其响应文件按无效处理。</w:t>
      </w:r>
    </w:p>
    <w:p>
      <w:pPr>
        <w:pStyle w:val="2"/>
        <w:widowControl/>
        <w:numPr>
          <w:ilvl w:val="0"/>
          <w:numId w:val="12"/>
        </w:numPr>
        <w:ind w:left="0" w:leftChars="0" w:firstLine="480" w:firstLineChars="0"/>
        <w:rPr>
          <w:b w:val="0"/>
        </w:rPr>
      </w:pPr>
      <w:r>
        <w:t>具备磋商文件“竞争性磋商邀请”第五条的基本条件；</w:t>
      </w:r>
    </w:p>
    <w:p>
      <w:pPr>
        <w:pStyle w:val="2"/>
        <w:widowControl/>
        <w:numPr>
          <w:ilvl w:val="0"/>
          <w:numId w:val="12"/>
        </w:numPr>
        <w:ind w:left="0" w:leftChars="0" w:firstLine="480" w:firstLineChars="0"/>
        <w:rPr>
          <w:b w:val="0"/>
        </w:rPr>
      </w:pPr>
      <w:r>
        <w:t>属于实质性参加采购活动的供应商。</w:t>
      </w:r>
    </w:p>
    <w:p>
      <w:pPr>
        <w:pStyle w:val="2"/>
        <w:widowControl/>
        <w:numPr>
          <w:ilvl w:val="0"/>
          <w:numId w:val="12"/>
        </w:numPr>
        <w:ind w:left="0" w:leftChars="0" w:firstLine="480" w:firstLineChars="0"/>
        <w:rPr>
          <w:b w:val="0"/>
        </w:rPr>
      </w:pPr>
      <w:r>
        <w:t>遵守国家有关的法律、法规、规章和其他政策制度；</w:t>
      </w:r>
    </w:p>
    <w:p>
      <w:pPr>
        <w:pStyle w:val="2"/>
        <w:widowControl/>
        <w:numPr>
          <w:ilvl w:val="0"/>
          <w:numId w:val="12"/>
        </w:numPr>
        <w:ind w:left="0" w:leftChars="0" w:firstLine="480" w:firstLineChars="0"/>
        <w:rPr>
          <w:b w:val="0"/>
        </w:rPr>
      </w:pPr>
      <w:r>
        <w:t>不属于禁止参加本项目采购活动的供应商；</w:t>
      </w:r>
    </w:p>
    <w:p>
      <w:pPr>
        <w:pStyle w:val="2"/>
        <w:widowControl/>
        <w:numPr>
          <w:ilvl w:val="0"/>
          <w:numId w:val="12"/>
        </w:numPr>
        <w:ind w:left="0" w:leftChars="0" w:firstLine="480" w:firstLineChars="0"/>
        <w:rPr>
          <w:b w:val="0"/>
        </w:rPr>
      </w:pPr>
      <w:r>
        <w:t>供应商在参加采购活动前，未被纳入法院、工商行政管理部门、税务部门、 银行认定的失信名单且在有效期内，或者在前三年采购合同履约过程中及其他经营活 动履约过程中未依法履约被有关部门处罚 (处理) 。</w:t>
      </w:r>
    </w:p>
    <w:p>
      <w:pPr>
        <w:pStyle w:val="2"/>
        <w:widowControl/>
        <w:numPr>
          <w:ilvl w:val="0"/>
          <w:numId w:val="12"/>
        </w:numPr>
        <w:ind w:left="0" w:leftChars="0" w:firstLine="480" w:firstLineChars="0"/>
        <w:rPr>
          <w:b w:val="0"/>
        </w:rPr>
      </w:pPr>
      <w:r>
        <w:t>有下列情形之一的，视为供应商串通磋商，其报价无效：</w:t>
      </w:r>
    </w:p>
    <w:p>
      <w:pPr>
        <w:pStyle w:val="2"/>
        <w:widowControl/>
        <w:numPr>
          <w:ilvl w:val="0"/>
          <w:numId w:val="13"/>
        </w:numPr>
        <w:ind w:left="0" w:leftChars="0" w:firstLine="480" w:firstLineChars="0"/>
        <w:rPr>
          <w:b w:val="0"/>
        </w:rPr>
      </w:pPr>
      <w:r>
        <w:t>不同供应商的响应文件由同一单位或者个人编制；</w:t>
      </w:r>
    </w:p>
    <w:p>
      <w:pPr>
        <w:pStyle w:val="2"/>
        <w:widowControl/>
      </w:pPr>
      <w:r>
        <w:pict>
          <v:rect id="_x0000_s1026" o:spid="_x0000_s1026" o:spt="1" style="position:absolute;left:0pt;margin-left:76.55pt;margin-top:70.2pt;height:0.75pt;width:441.1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t>(二)不同供应商委托同一单位或者个人办理磋商事宜；</w:t>
      </w:r>
    </w:p>
    <w:p>
      <w:pPr>
        <w:pStyle w:val="2"/>
        <w:widowControl/>
      </w:pPr>
      <w:r>
        <w:t>(三)不同供应商的响应文件载明的项目管理成员或者联系人员为同一人；</w:t>
      </w:r>
    </w:p>
    <w:p>
      <w:pPr>
        <w:pStyle w:val="2"/>
        <w:widowControl/>
      </w:pPr>
      <w:r>
        <w:t>(四)不同供应商的响应文件异常一致或者报价呈规律性差异；</w:t>
      </w:r>
    </w:p>
    <w:p>
      <w:pPr>
        <w:pStyle w:val="2"/>
        <w:widowControl/>
      </w:pPr>
      <w:r>
        <w:t>(五)不同供应商的响应文件相互混装；</w:t>
      </w:r>
    </w:p>
    <w:p>
      <w:pPr>
        <w:pStyle w:val="2"/>
        <w:widowControl/>
      </w:pPr>
      <w:r>
        <w:t>(六)不同供应商的磋商保证金从同一单位或者个人的账户转出。</w:t>
      </w:r>
    </w:p>
    <w:p>
      <w:pPr>
        <w:pStyle w:val="5"/>
        <w:widowControl/>
        <w:numPr>
          <w:ilvl w:val="0"/>
          <w:numId w:val="9"/>
        </w:numPr>
        <w:topLinePunct w:val="0"/>
        <w:ind w:left="0" w:leftChars="0" w:firstLine="0" w:firstLineChars="0"/>
        <w:rPr>
          <w:b/>
        </w:rPr>
      </w:pPr>
      <w:r>
        <w:t>磋商费用</w:t>
      </w:r>
    </w:p>
    <w:p>
      <w:pPr>
        <w:pStyle w:val="2"/>
        <w:widowControl/>
      </w:pPr>
      <w:bookmarkStart w:id="17" w:name="_Toc14009"/>
      <w:r>
        <w:t>供应商应自行承担参加磋商活动的全部费用。</w:t>
      </w:r>
      <w:bookmarkEnd w:id="17"/>
    </w:p>
    <w:p>
      <w:pPr>
        <w:pStyle w:val="5"/>
        <w:widowControl/>
        <w:numPr>
          <w:ilvl w:val="0"/>
          <w:numId w:val="9"/>
        </w:numPr>
        <w:topLinePunct w:val="0"/>
        <w:ind w:left="0" w:leftChars="0" w:firstLine="0" w:firstLineChars="0"/>
        <w:rPr>
          <w:b/>
        </w:rPr>
      </w:pPr>
      <w:r>
        <w:t>充分、公平竞争保障措施 (实质性要求)</w:t>
      </w:r>
    </w:p>
    <w:p>
      <w:pPr>
        <w:pStyle w:val="2"/>
        <w:widowControl/>
        <w:numPr>
          <w:ilvl w:val="0"/>
          <w:numId w:val="14"/>
        </w:numPr>
        <w:ind w:left="0" w:leftChars="0" w:firstLine="480" w:firstLineChars="0"/>
        <w:rPr>
          <w:b w:val="0"/>
        </w:rPr>
      </w:pPr>
      <w:r>
        <w:t>利害关系供应商处理。单位负责人为同一人或者存在直接控股、管理关系的 不同供应商不得参加同一合同项下的采购活动。采购项目实行资格预审的，单位负责 人为同一人或者存在直接控股、管理关系的不同供应商可以参加资格预审，但只能由 供应商确定其中一家符合条件的供应商参加后续的采购活动，否则，其响应文件作为 无效处理。</w:t>
      </w:r>
    </w:p>
    <w:p>
      <w:pPr>
        <w:pStyle w:val="2"/>
        <w:widowControl/>
        <w:numPr>
          <w:ilvl w:val="0"/>
          <w:numId w:val="14"/>
        </w:numPr>
        <w:ind w:left="0" w:leftChars="0" w:firstLine="480" w:firstLineChars="0"/>
        <w:rPr>
          <w:b w:val="0"/>
        </w:rPr>
      </w:pPr>
      <w:r>
        <w:t>利害关系授权代表处理。两家以上的供应商不得在同一合同项下的采购项目</w:t>
      </w:r>
    </w:p>
    <w:p>
      <w:pPr>
        <w:pStyle w:val="2"/>
        <w:widowControl/>
      </w:pPr>
      <w:r>
        <w:t>中，委托同一个自然人、同一家庭的人员、同一单位的人员作为其授权代表，否则， 其响应文件作为无效处理。</w:t>
      </w:r>
    </w:p>
    <w:p>
      <w:pPr>
        <w:pStyle w:val="2"/>
        <w:widowControl/>
        <w:numPr>
          <w:ilvl w:val="0"/>
          <w:numId w:val="14"/>
        </w:numPr>
        <w:ind w:left="0" w:leftChars="0" w:firstLine="480" w:firstLineChars="0"/>
        <w:rPr>
          <w:b w:val="0"/>
        </w:rPr>
      </w:pPr>
      <w:r>
        <w:t>前期参与供应商处理。为采购项目提供整体设计、规范编制或者项目管理、 监理、检测等服务的供应商，不得再参加该采购项目的其他采购活动。供应商为采购 人、采购代理机构在确定采购需求、编制采购文件过程中提供咨询论证，其提供的咨 询论证意见成为采购文件中规定的供应商资格条件、技术服务商务要求、评审因素和 标准、采购合同等实质性内容条款的，视同为采购项目提供规范编制。</w:t>
      </w:r>
    </w:p>
    <w:p>
      <w:pPr>
        <w:pStyle w:val="2"/>
        <w:widowControl/>
        <w:numPr>
          <w:ilvl w:val="0"/>
          <w:numId w:val="14"/>
        </w:numPr>
        <w:ind w:left="0" w:leftChars="0" w:firstLine="480" w:firstLineChars="0"/>
        <w:rPr>
          <w:b w:val="0"/>
        </w:rPr>
      </w:pPr>
      <w:r>
        <w:t>供应商实际控制人或者中高级管理人员，同时是采购代理机构工作人员，不 得参与本项目采购活动。</w:t>
      </w:r>
    </w:p>
    <w:p>
      <w:pPr>
        <w:pStyle w:val="2"/>
        <w:widowControl/>
        <w:numPr>
          <w:ilvl w:val="0"/>
          <w:numId w:val="14"/>
        </w:numPr>
        <w:ind w:left="0" w:leftChars="0" w:firstLine="480" w:firstLineChars="0"/>
        <w:rPr>
          <w:b w:val="0"/>
        </w:rPr>
      </w:pPr>
      <w:r>
        <w:t>同一母公司的两家以上的子公司只能组成联合体参加本项目同一合同项下的 采购活动，不得以不同供应商身份同时参加本项目同一合同项下的采购活动。</w:t>
      </w:r>
    </w:p>
    <w:p>
      <w:pPr>
        <w:pStyle w:val="2"/>
        <w:widowControl/>
        <w:numPr>
          <w:ilvl w:val="0"/>
          <w:numId w:val="14"/>
        </w:numPr>
        <w:ind w:left="0" w:leftChars="0" w:firstLine="480" w:firstLineChars="0"/>
        <w:rPr>
          <w:b w:val="0"/>
        </w:rPr>
      </w:pPr>
      <w:r>
        <w:t>供应商与采购代理机构存在关联关系，或者是采购代理机构的母公司或子公</w:t>
      </w:r>
    </w:p>
    <w:p>
      <w:pPr>
        <w:pStyle w:val="2"/>
        <w:widowControl/>
      </w:pPr>
      <w:r>
        <w:t>司，不得参加本项目采购活动。</w:t>
      </w:r>
    </w:p>
    <w:p>
      <w:pPr>
        <w:pStyle w:val="2"/>
        <w:widowControl/>
        <w:numPr>
          <w:ilvl w:val="0"/>
          <w:numId w:val="14"/>
        </w:numPr>
        <w:ind w:left="0" w:leftChars="0" w:firstLine="480" w:firstLineChars="0"/>
        <w:rPr>
          <w:b w:val="0"/>
        </w:rPr>
      </w:pPr>
      <w:r>
        <w:t>回避。采购活动中，采购人员及相关人员与供应商有下列利害关系之一的， 应当回避：</w:t>
      </w:r>
    </w:p>
    <w:p>
      <w:pPr>
        <w:pStyle w:val="2"/>
        <w:widowControl/>
        <w:numPr>
          <w:ilvl w:val="0"/>
          <w:numId w:val="15"/>
        </w:numPr>
        <w:ind w:left="0" w:leftChars="0" w:firstLine="480" w:firstLineChars="0"/>
        <w:rPr>
          <w:b w:val="0"/>
        </w:rPr>
      </w:pPr>
      <w:r>
        <w:t>参加采购活动前 3 年内与供应商存在劳动关系；</w:t>
      </w:r>
    </w:p>
    <w:p>
      <w:pPr>
        <w:pStyle w:val="2"/>
        <w:widowControl/>
        <w:numPr>
          <w:ilvl w:val="0"/>
          <w:numId w:val="15"/>
        </w:numPr>
        <w:ind w:left="0" w:leftChars="0" w:firstLine="480" w:firstLineChars="0"/>
        <w:rPr>
          <w:b w:val="0"/>
        </w:rPr>
      </w:pPr>
      <w:r>
        <w:t>参加采购活动前 3 年内担任供应商的董事、监事；</w:t>
      </w:r>
    </w:p>
    <w:p>
      <w:pPr>
        <w:pStyle w:val="2"/>
        <w:widowControl/>
        <w:numPr>
          <w:ilvl w:val="0"/>
          <w:numId w:val="15"/>
        </w:numPr>
        <w:ind w:left="0" w:leftChars="0" w:firstLine="480" w:firstLineChars="0"/>
        <w:rPr>
          <w:b w:val="0"/>
        </w:rPr>
      </w:pPr>
      <w:r>
        <w:t>参加采购活动前 3 年内是供应商的控股股东或者实际控制人；</w:t>
      </w:r>
    </w:p>
    <w:p>
      <w:pPr>
        <w:pStyle w:val="2"/>
        <w:widowControl/>
        <w:numPr>
          <w:ilvl w:val="0"/>
          <w:numId w:val="15"/>
        </w:numPr>
        <w:ind w:left="0" w:leftChars="0" w:firstLine="480" w:firstLineChars="0"/>
        <w:rPr>
          <w:b w:val="0"/>
        </w:rPr>
      </w:pPr>
      <w:r>
        <w:t>与供应商的法定代表人或者负责人有夫妻、直系血亲、三代以内旁系血亲 或者近姻亲关系；</w:t>
      </w:r>
    </w:p>
    <w:p>
      <w:pPr>
        <w:pStyle w:val="2"/>
        <w:widowControl/>
        <w:numPr>
          <w:ilvl w:val="0"/>
          <w:numId w:val="15"/>
        </w:numPr>
        <w:ind w:left="0" w:leftChars="0" w:firstLine="480" w:firstLineChars="0"/>
        <w:rPr>
          <w:b w:val="0"/>
        </w:rPr>
      </w:pPr>
      <w:r>
        <w:t>与供应商有其他可能影响采购活动公平、公正进行的关系。</w:t>
      </w:r>
    </w:p>
    <w:p>
      <w:pPr>
        <w:pStyle w:val="2"/>
        <w:widowControl/>
      </w:pPr>
      <w:r>
        <w:t>本项目采购活动中需要依法回避的采购人员是指采购人内部负责采购项目的具 体经办工作人员和直接分管采购项目的负责人，以及采购代理机构负责采购项目的具 体经办工作人员和直接分管采购活动的负责人。本项目采购活动中需要依法回避的相 关人员是指磋商小组成员。</w:t>
      </w:r>
    </w:p>
    <w:p>
      <w:pPr>
        <w:pStyle w:val="5"/>
        <w:widowControl/>
        <w:numPr>
          <w:ilvl w:val="0"/>
          <w:numId w:val="9"/>
        </w:numPr>
        <w:topLinePunct w:val="0"/>
        <w:ind w:left="0" w:leftChars="0" w:firstLine="0" w:firstLineChars="0"/>
        <w:rPr>
          <w:b/>
        </w:rPr>
      </w:pPr>
      <w:r>
        <w:t>联合体竞争性磋商</w:t>
      </w:r>
    </w:p>
    <w:p>
      <w:pPr>
        <w:pStyle w:val="2"/>
        <w:widowControl/>
      </w:pPr>
      <w:r>
        <w:t>本项目不接受联合体参加。</w:t>
      </w:r>
    </w:p>
    <w:p>
      <w:pPr>
        <w:pStyle w:val="5"/>
        <w:widowControl/>
        <w:numPr>
          <w:ilvl w:val="0"/>
          <w:numId w:val="9"/>
        </w:numPr>
        <w:topLinePunct w:val="0"/>
        <w:ind w:left="0" w:leftChars="0" w:firstLine="0" w:firstLineChars="0"/>
        <w:rPr>
          <w:b/>
        </w:rPr>
      </w:pPr>
      <w:r>
        <w:t>磋商保证金 (实质性要求)</w:t>
      </w:r>
    </w:p>
    <w:p>
      <w:pPr>
        <w:pStyle w:val="2"/>
        <w:widowControl/>
      </w:pPr>
      <w:r>
        <w:t>本项目不需要缴纳磋商保证金。</w:t>
      </w:r>
    </w:p>
    <w:p>
      <w:pPr>
        <w:pStyle w:val="5"/>
        <w:widowControl/>
        <w:numPr>
          <w:ilvl w:val="0"/>
          <w:numId w:val="9"/>
        </w:numPr>
        <w:topLinePunct w:val="0"/>
        <w:ind w:left="0" w:leftChars="0" w:firstLine="0" w:firstLineChars="0"/>
        <w:rPr>
          <w:b/>
        </w:rPr>
      </w:pPr>
      <w:r>
        <w:t>响应文件有效期 (实质性要求)</w:t>
      </w:r>
    </w:p>
    <w:p>
      <w:pPr>
        <w:pStyle w:val="2"/>
        <w:widowControl/>
      </w:pPr>
      <w:r>
        <w:t>本项目响应文件有效期为提交磋商响应文件截止之日起 5天。供应商响应文件 中必须载明响应文件有效期，响应文件中载明的响应文件有效期可以长于磋商文件规 定的期限，但不得短于磋商文件规定的期限。否则，其响应文件将作为无效处理。</w:t>
      </w:r>
    </w:p>
    <w:p>
      <w:pPr>
        <w:pStyle w:val="4"/>
        <w:widowControl/>
        <w:numPr>
          <w:ilvl w:val="0"/>
          <w:numId w:val="8"/>
        </w:numPr>
        <w:topLinePunct w:val="0"/>
        <w:ind w:left="0" w:leftChars="0" w:firstLine="0" w:firstLineChars="0"/>
        <w:rPr>
          <w:b/>
        </w:rPr>
      </w:pPr>
      <w:bookmarkStart w:id="18" w:name="_Toc886"/>
      <w:r>
        <w:t>磋商文件</w:t>
      </w:r>
      <w:bookmarkEnd w:id="18"/>
    </w:p>
    <w:p>
      <w:pPr>
        <w:pStyle w:val="5"/>
        <w:widowControl/>
        <w:numPr>
          <w:ilvl w:val="0"/>
          <w:numId w:val="16"/>
        </w:numPr>
        <w:topLinePunct w:val="0"/>
        <w:ind w:left="0" w:leftChars="0" w:firstLine="0" w:firstLineChars="0"/>
        <w:rPr>
          <w:b/>
        </w:rPr>
      </w:pPr>
      <w:r>
        <w:t>磋商文件的构成 (实质性要求)</w:t>
      </w:r>
    </w:p>
    <w:p>
      <w:pPr>
        <w:pStyle w:val="2"/>
        <w:widowControl/>
      </w:pPr>
      <w:r>
        <w:t>磋商文件是供应商准备响应文件和参加磋商的依据，同时也是磋商的重要依据。磋商文件用以阐明磋商项目所需的资质、技术、服务及报价等要求、磋商程序、 有关规定和注意事项以及合同主要条款等。本磋商文件包括以下内容：</w:t>
      </w:r>
    </w:p>
    <w:p>
      <w:pPr>
        <w:pStyle w:val="2"/>
        <w:widowControl/>
        <w:numPr>
          <w:ilvl w:val="0"/>
          <w:numId w:val="17"/>
        </w:numPr>
        <w:ind w:left="0" w:leftChars="0" w:firstLine="480" w:firstLineChars="0"/>
        <w:rPr>
          <w:b w:val="0"/>
        </w:rPr>
      </w:pPr>
      <w:r>
        <w:t>竞争性磋商邀请；</w:t>
      </w:r>
    </w:p>
    <w:p>
      <w:pPr>
        <w:pStyle w:val="2"/>
        <w:widowControl/>
        <w:numPr>
          <w:ilvl w:val="0"/>
          <w:numId w:val="17"/>
        </w:numPr>
        <w:ind w:left="0" w:leftChars="0" w:firstLine="480" w:firstLineChars="0"/>
        <w:rPr>
          <w:b w:val="0"/>
        </w:rPr>
      </w:pPr>
      <w:r>
        <w:t>供应商磋商须知；</w:t>
      </w:r>
    </w:p>
    <w:p>
      <w:pPr>
        <w:pStyle w:val="2"/>
        <w:widowControl/>
        <w:numPr>
          <w:ilvl w:val="0"/>
          <w:numId w:val="17"/>
        </w:numPr>
        <w:ind w:left="0" w:leftChars="0" w:firstLine="480" w:firstLineChars="0"/>
        <w:rPr>
          <w:b w:val="0"/>
        </w:rPr>
      </w:pPr>
      <w:r>
        <w:t>供应商资格条件要求</w:t>
      </w:r>
    </w:p>
    <w:p>
      <w:pPr>
        <w:pStyle w:val="2"/>
        <w:widowControl/>
        <w:numPr>
          <w:ilvl w:val="0"/>
          <w:numId w:val="17"/>
        </w:numPr>
        <w:ind w:left="0" w:leftChars="0" w:firstLine="480" w:firstLineChars="0"/>
        <w:rPr>
          <w:b w:val="0"/>
        </w:rPr>
      </w:pPr>
      <w:r>
        <w:t>供应商资格证明材料</w:t>
      </w:r>
    </w:p>
    <w:p>
      <w:pPr>
        <w:pStyle w:val="2"/>
        <w:widowControl/>
        <w:numPr>
          <w:ilvl w:val="0"/>
          <w:numId w:val="17"/>
        </w:numPr>
        <w:ind w:left="0" w:leftChars="0" w:firstLine="480" w:firstLineChars="0"/>
        <w:rPr>
          <w:b w:val="0"/>
        </w:rPr>
      </w:pPr>
      <w:r>
        <w:t>采购项目技术、服务、采购合同内容条款及其他商务要求；</w:t>
      </w:r>
    </w:p>
    <w:p>
      <w:pPr>
        <w:pStyle w:val="2"/>
        <w:widowControl/>
        <w:numPr>
          <w:ilvl w:val="0"/>
          <w:numId w:val="17"/>
        </w:numPr>
        <w:ind w:left="0" w:leftChars="0" w:firstLine="480" w:firstLineChars="0"/>
        <w:rPr>
          <w:b w:val="0"/>
        </w:rPr>
      </w:pPr>
      <w:r>
        <w:t>采购项目实质性要求；</w:t>
      </w:r>
    </w:p>
    <w:p>
      <w:pPr>
        <w:pStyle w:val="2"/>
        <w:widowControl/>
        <w:numPr>
          <w:ilvl w:val="0"/>
          <w:numId w:val="17"/>
        </w:numPr>
        <w:ind w:left="0" w:leftChars="0" w:firstLine="480" w:firstLineChars="0"/>
        <w:rPr>
          <w:b w:val="0"/>
        </w:rPr>
      </w:pPr>
      <w:r>
        <w:t>磋商内容、磋商过程中可能实质性变动的内容；</w:t>
      </w:r>
    </w:p>
    <w:p>
      <w:pPr>
        <w:pStyle w:val="2"/>
        <w:widowControl/>
        <w:numPr>
          <w:ilvl w:val="0"/>
          <w:numId w:val="17"/>
        </w:numPr>
        <w:ind w:left="0" w:leftChars="0" w:firstLine="480" w:firstLineChars="0"/>
        <w:rPr>
          <w:b w:val="0"/>
        </w:rPr>
      </w:pPr>
      <w:r>
        <w:t>响应文件格式；</w:t>
      </w:r>
    </w:p>
    <w:p>
      <w:pPr>
        <w:pStyle w:val="2"/>
        <w:widowControl/>
        <w:numPr>
          <w:ilvl w:val="0"/>
          <w:numId w:val="17"/>
        </w:numPr>
        <w:ind w:left="0" w:leftChars="0" w:firstLine="480" w:firstLineChars="0"/>
        <w:rPr>
          <w:b w:val="0"/>
        </w:rPr>
      </w:pPr>
      <w:r>
        <w:t>评审方法；</w:t>
      </w:r>
    </w:p>
    <w:p>
      <w:pPr>
        <w:pStyle w:val="5"/>
        <w:widowControl/>
        <w:numPr>
          <w:ilvl w:val="0"/>
          <w:numId w:val="16"/>
        </w:numPr>
        <w:topLinePunct w:val="0"/>
        <w:ind w:left="0" w:leftChars="0" w:firstLine="0" w:firstLineChars="0"/>
        <w:rPr>
          <w:b/>
        </w:rPr>
      </w:pPr>
      <w:r>
        <w:t>磋商文件的澄清和修改</w:t>
      </w:r>
    </w:p>
    <w:p>
      <w:pPr>
        <w:pStyle w:val="2"/>
        <w:widowControl/>
        <w:numPr>
          <w:ilvl w:val="0"/>
          <w:numId w:val="18"/>
        </w:numPr>
        <w:ind w:left="0" w:leftChars="0" w:firstLine="480" w:firstLineChars="0"/>
        <w:rPr>
          <w:b w:val="0"/>
        </w:rPr>
      </w:pPr>
      <w:r>
        <w:t>在递交响应文件截止时间前，采购人可以对磋商文件进行澄清或者修改。</w:t>
      </w:r>
    </w:p>
    <w:p>
      <w:pPr>
        <w:pStyle w:val="2"/>
        <w:widowControl/>
        <w:numPr>
          <w:ilvl w:val="0"/>
          <w:numId w:val="18"/>
        </w:numPr>
        <w:ind w:left="0" w:leftChars="0" w:firstLine="480" w:firstLineChars="0"/>
        <w:rPr>
          <w:b w:val="0"/>
        </w:rPr>
      </w:pPr>
      <w:r>
        <w:t>采购人对已发出的磋商文件进行澄清或者修改，应当以书面形式将 澄清或者修改的内容通知所有购买了磋商文件的供应商，同时在本项目发布媒体网站。</w:t>
      </w:r>
    </w:p>
    <w:p>
      <w:pPr>
        <w:pStyle w:val="2"/>
        <w:widowControl/>
      </w:pPr>
      <w:r>
        <w:t>上发布更正公告。该澄清或者修改的内容均为磋商文件的组成部分，并具有同等的法 律效力。如磋商文件的澄清与磋商文件有矛盾，以日期在后的为准。澄清或者修改的 内容可能影响响应文件编制的，采购人发布公告并书面通知供应商 的时间，应当在提交首次响应文件截止时间至少五日前；不足上述时间的，应当顺延 递交响应文件的截止时间。</w:t>
      </w:r>
    </w:p>
    <w:p>
      <w:pPr>
        <w:pStyle w:val="2"/>
        <w:widowControl/>
        <w:numPr>
          <w:ilvl w:val="0"/>
          <w:numId w:val="18"/>
        </w:numPr>
        <w:ind w:left="0" w:leftChars="0" w:firstLine="480" w:firstLineChars="0"/>
        <w:rPr>
          <w:b w:val="0"/>
        </w:rPr>
      </w:pPr>
      <w:r>
        <w:t>供应商认为采购人或采购代理机构需要对磋商文件进行澄清或者修改的，可 以在响应文件递交截止时间 3 天前以书面形式向采购人或采购代理机构提出申请，由 采购人或采购代理机构决定是否采纳供应商的申请事项。若采纳，采购代理机构将视 情况采用适当方式予以澄清或以书面形式予以答复。</w:t>
      </w:r>
    </w:p>
    <w:p>
      <w:pPr>
        <w:pStyle w:val="2"/>
        <w:widowControl/>
        <w:numPr>
          <w:ilvl w:val="0"/>
          <w:numId w:val="18"/>
        </w:numPr>
        <w:ind w:left="0" w:leftChars="0" w:firstLine="480" w:firstLineChars="0"/>
        <w:rPr>
          <w:b w:val="0"/>
        </w:rPr>
      </w:pPr>
      <w:r>
        <w:t>磋商文件的修改将以书面形式通知磋商文件的购买人，并对其具有约束力。 供应商在收到上述通知后，应立即向采购代理机构回函确认。供应商将被视为编制响 应文件时已考虑了上述修改。</w:t>
      </w:r>
    </w:p>
    <w:p>
      <w:pPr>
        <w:pStyle w:val="5"/>
        <w:widowControl/>
        <w:numPr>
          <w:ilvl w:val="0"/>
          <w:numId w:val="16"/>
        </w:numPr>
        <w:topLinePunct w:val="0"/>
        <w:ind w:left="0" w:leftChars="0" w:firstLine="0" w:firstLineChars="0"/>
        <w:rPr>
          <w:b/>
        </w:rPr>
      </w:pPr>
      <w:r>
        <w:t>答疑会和现场踏勘</w:t>
      </w:r>
    </w:p>
    <w:p>
      <w:pPr>
        <w:pStyle w:val="2"/>
        <w:widowControl/>
        <w:rPr>
          <w:rFonts w:ascii="宋体" w:hAnsi="宋体" w:eastAsia="宋体" w:cs="宋体"/>
          <w:spacing w:val="7"/>
          <w:sz w:val="23"/>
          <w:szCs w:val="23"/>
          <w14:textOutline w14:w="4358" w14:cap="sq" w14:cmpd="sng">
            <w14:solidFill>
              <w14:srgbClr w14:val="000000"/>
            </w14:solidFill>
            <w14:prstDash w14:val="solid"/>
            <w14:bevel/>
          </w14:textOutline>
        </w:rPr>
      </w:pPr>
      <w:r>
        <w:t>不组织答疑会，现场探勘自行前往，不单独组织。</w:t>
      </w:r>
    </w:p>
    <w:p>
      <w:pPr>
        <w:pStyle w:val="4"/>
        <w:widowControl/>
        <w:numPr>
          <w:ilvl w:val="0"/>
          <w:numId w:val="8"/>
        </w:numPr>
        <w:topLinePunct w:val="0"/>
        <w:ind w:left="0" w:leftChars="0" w:firstLine="0" w:firstLineChars="0"/>
        <w:rPr>
          <w:rFonts w:ascii="Arial"/>
          <w:sz w:val="21"/>
        </w:rPr>
      </w:pPr>
      <w:bookmarkStart w:id="19" w:name="_Toc14254"/>
      <w:r>
        <w:t>响应文件</w:t>
      </w:r>
      <w:bookmarkEnd w:id="19"/>
    </w:p>
    <w:p>
      <w:pPr>
        <w:pStyle w:val="2"/>
        <w:widowControl/>
        <w:numPr>
          <w:ilvl w:val="0"/>
          <w:numId w:val="19"/>
        </w:numPr>
        <w:ind w:left="0" w:leftChars="0" w:firstLine="480" w:firstLineChars="0"/>
        <w:rPr>
          <w:b w:val="0"/>
        </w:rPr>
      </w:pPr>
      <w:r>
        <w:t>响应文件的语言</w:t>
      </w:r>
    </w:p>
    <w:p>
      <w:pPr>
        <w:pStyle w:val="2"/>
        <w:widowControl/>
        <w:numPr>
          <w:ilvl w:val="0"/>
          <w:numId w:val="20"/>
        </w:numPr>
        <w:ind w:left="0" w:leftChars="0" w:firstLine="480" w:firstLineChars="0"/>
        <w:rPr>
          <w:b w:val="0"/>
        </w:rPr>
      </w:pPr>
      <w:r>
        <w:t>供应商提交的响应文件以及供应商与采购人就有关报价的所有来往书面文件均须使用中文 (实质性要求) 。</w:t>
      </w:r>
    </w:p>
    <w:p>
      <w:pPr>
        <w:pStyle w:val="2"/>
        <w:widowControl/>
        <w:numPr>
          <w:ilvl w:val="0"/>
          <w:numId w:val="20"/>
        </w:numPr>
        <w:ind w:left="0" w:leftChars="0" w:firstLine="480" w:firstLineChars="0"/>
        <w:rPr>
          <w:b w:val="0"/>
        </w:rPr>
      </w:pPr>
      <w:r>
        <w:t>翻译的中文资料与外文资料如果出现差异和矛盾，以中文为准。但不能故 意错误翻译，否则，供应商的响应文件将作为无效处理。  (实质性要求)</w:t>
      </w:r>
    </w:p>
    <w:p>
      <w:pPr>
        <w:pStyle w:val="2"/>
        <w:widowControl/>
        <w:numPr>
          <w:ilvl w:val="0"/>
          <w:numId w:val="19"/>
        </w:numPr>
        <w:ind w:left="0" w:leftChars="0" w:firstLine="480" w:firstLineChars="0"/>
        <w:rPr>
          <w:b w:val="0"/>
        </w:rPr>
      </w:pPr>
      <w:r>
        <w:t>计量单位 (实质性要求)</w:t>
      </w:r>
    </w:p>
    <w:p>
      <w:pPr>
        <w:pStyle w:val="2"/>
        <w:widowControl/>
      </w:pPr>
      <w:r>
        <w:t>除磋商文件中另有规定外，本次采购项目所有合同项下的报价均采用国家法定的 计量单位。</w:t>
      </w:r>
    </w:p>
    <w:p>
      <w:pPr>
        <w:pStyle w:val="2"/>
        <w:widowControl/>
        <w:numPr>
          <w:ilvl w:val="0"/>
          <w:numId w:val="19"/>
        </w:numPr>
        <w:ind w:left="0" w:leftChars="0" w:firstLine="480" w:firstLineChars="0"/>
        <w:rPr>
          <w:b w:val="0"/>
        </w:rPr>
      </w:pPr>
      <w:r>
        <w:t>报价货币 (实质性要求)</w:t>
      </w:r>
    </w:p>
    <w:p>
      <w:pPr>
        <w:pStyle w:val="2"/>
        <w:widowControl/>
      </w:pPr>
      <w:r>
        <w:t>本次磋商项目的报价货币为人民币，报价以磋商文件规定为准。</w:t>
      </w:r>
    </w:p>
    <w:p>
      <w:pPr>
        <w:pStyle w:val="2"/>
        <w:widowControl/>
        <w:numPr>
          <w:ilvl w:val="0"/>
          <w:numId w:val="19"/>
        </w:numPr>
        <w:ind w:left="0" w:leftChars="0" w:firstLine="480" w:firstLineChars="0"/>
        <w:rPr>
          <w:b w:val="0"/>
        </w:rPr>
      </w:pPr>
      <w:r>
        <w:t>响应文件格式</w:t>
      </w:r>
    </w:p>
    <w:p>
      <w:pPr>
        <w:pStyle w:val="2"/>
        <w:widowControl/>
        <w:numPr>
          <w:ilvl w:val="0"/>
          <w:numId w:val="19"/>
        </w:numPr>
        <w:ind w:left="0" w:leftChars="0" w:firstLine="480" w:firstLineChars="0"/>
        <w:rPr>
          <w:b w:val="0"/>
        </w:rPr>
      </w:pPr>
      <w:r>
        <w:t>对于没有格式要求的磋商文件由供应商自行编写。</w:t>
      </w:r>
    </w:p>
    <w:p>
      <w:pPr>
        <w:pStyle w:val="2"/>
        <w:widowControl/>
        <w:numPr>
          <w:ilvl w:val="0"/>
          <w:numId w:val="19"/>
        </w:numPr>
        <w:ind w:left="0" w:leftChars="0" w:firstLine="480" w:firstLineChars="0"/>
        <w:rPr>
          <w:b w:val="0"/>
        </w:rPr>
      </w:pPr>
      <w:r>
        <w:t>响应文件的组成</w:t>
      </w:r>
    </w:p>
    <w:p>
      <w:pPr>
        <w:pStyle w:val="2"/>
        <w:widowControl/>
      </w:pPr>
      <w:r>
        <w:t>磋商供应商应按照磋商文件的规定和要求编制响应文件。本项目响应文件分为 资格性响应文件和其他响应文件两部分，资格性响应文件和其他响应文件需分开进行 装订。资格性响应文件用于磋商小组资格审查，其他响应文件用于磋商。</w:t>
      </w:r>
    </w:p>
    <w:p>
      <w:pPr>
        <w:pStyle w:val="2"/>
        <w:widowControl/>
      </w:pPr>
      <w:r>
        <w:t>磋商供应商编写的响应文件应包括但不仅限于以下内容：</w:t>
      </w:r>
    </w:p>
    <w:p>
      <w:pPr>
        <w:pStyle w:val="2"/>
        <w:widowControl/>
        <w:numPr>
          <w:ilvl w:val="0"/>
          <w:numId w:val="21"/>
        </w:numPr>
        <w:ind w:left="0" w:leftChars="0" w:firstLine="480" w:firstLineChars="0"/>
        <w:rPr>
          <w:b w:val="0"/>
        </w:rPr>
      </w:pPr>
      <w:r>
        <w:t>报价部分</w:t>
      </w:r>
    </w:p>
    <w:p>
      <w:pPr>
        <w:pStyle w:val="2"/>
        <w:widowControl/>
      </w:pPr>
      <w:r>
        <w:t>磋商供应商按照磋商文件要求及磋商情况填写“最终报价信” (详见响应文件格</w:t>
      </w:r>
    </w:p>
    <w:p>
      <w:pPr>
        <w:spacing w:line="264" w:lineRule="auto"/>
        <w:rPr>
          <w:rFonts w:ascii="Arial"/>
          <w:sz w:val="21"/>
        </w:rPr>
      </w:pPr>
    </w:p>
    <w:p>
      <w:pPr>
        <w:pStyle w:val="2"/>
        <w:widowControl/>
      </w:pPr>
      <w:r>
        <w:pict>
          <v:shape id="_x0000_s1027" o:spid="_x0000_s1027" o:spt="202" type="#_x0000_t202" style="position:absolute;left:0pt;margin-left:-0.25pt;margin-top:-4.95pt;height:16.3pt;width:18.5pt;z-index:251661312;mso-width-relative:page;mso-height-relative:page;" filled="f" stroked="f" coordsize="21600,21600">
            <v:path/>
            <v:fill on="f" focussize="0,0"/>
            <v:stroke on="f"/>
            <v:imagedata o:title=""/>
            <o:lock v:ext="edit" aspectratio="f"/>
            <v:textbox inset="0mm,0mm,0mm,0mm">
              <w:txbxContent>
                <w:p>
                  <w:pPr>
                    <w:spacing w:before="19" w:line="229" w:lineRule="auto"/>
                    <w:ind w:left="20"/>
                    <w:rPr>
                      <w:rFonts w:ascii="宋体" w:hAnsi="宋体" w:eastAsia="宋体" w:cs="宋体"/>
                      <w:sz w:val="23"/>
                      <w:szCs w:val="23"/>
                    </w:rPr>
                  </w:pPr>
                  <w:r>
                    <w:rPr>
                      <w:rFonts w:ascii="宋体" w:hAnsi="宋体" w:eastAsia="宋体" w:cs="宋体"/>
                      <w:spacing w:val="-3"/>
                      <w:sz w:val="23"/>
                      <w:szCs w:val="23"/>
                    </w:rPr>
                    <w:t>式</w:t>
                  </w:r>
                  <w:r>
                    <w:rPr>
                      <w:rFonts w:ascii="宋体" w:hAnsi="宋体" w:eastAsia="宋体" w:cs="宋体"/>
                      <w:spacing w:val="-2"/>
                      <w:sz w:val="23"/>
                      <w:szCs w:val="23"/>
                    </w:rPr>
                    <w:t>)</w:t>
                  </w:r>
                </w:p>
              </w:txbxContent>
            </v:textbox>
          </v:shape>
        </w:pict>
      </w:r>
      <w:r>
        <w:t>。</w:t>
      </w:r>
    </w:p>
    <w:p>
      <w:pPr>
        <w:pStyle w:val="2"/>
        <w:widowControl/>
        <w:numPr>
          <w:ilvl w:val="0"/>
          <w:numId w:val="21"/>
        </w:numPr>
        <w:ind w:left="0" w:leftChars="0" w:firstLine="480" w:firstLineChars="0"/>
        <w:rPr>
          <w:b w:val="0"/>
        </w:rPr>
      </w:pPr>
      <w:r>
        <w:t>资格性响应文件：磋商供应商按照磋商文件要求编写资格性响应文件：</w:t>
      </w:r>
    </w:p>
    <w:p>
      <w:pPr>
        <w:pStyle w:val="2"/>
        <w:widowControl/>
        <w:numPr>
          <w:ilvl w:val="0"/>
          <w:numId w:val="22"/>
        </w:numPr>
        <w:ind w:left="0" w:leftChars="0" w:firstLine="480" w:firstLineChars="0"/>
        <w:rPr>
          <w:b w:val="0"/>
        </w:rPr>
      </w:pPr>
      <w:r>
        <w:t>声明函、承诺函；</w:t>
      </w:r>
    </w:p>
    <w:p>
      <w:pPr>
        <w:pStyle w:val="2"/>
        <w:widowControl/>
        <w:numPr>
          <w:ilvl w:val="0"/>
          <w:numId w:val="22"/>
        </w:numPr>
        <w:ind w:left="0" w:leftChars="0" w:firstLine="480" w:firstLineChars="0"/>
        <w:rPr>
          <w:b w:val="0"/>
        </w:rPr>
      </w:pPr>
      <w:r>
        <w:t>供应商的基本概况；</w:t>
      </w:r>
    </w:p>
    <w:p>
      <w:pPr>
        <w:pStyle w:val="2"/>
        <w:widowControl/>
        <w:numPr>
          <w:ilvl w:val="0"/>
          <w:numId w:val="22"/>
        </w:numPr>
        <w:ind w:left="0" w:leftChars="0" w:firstLine="480" w:firstLineChars="0"/>
        <w:rPr>
          <w:b w:val="0"/>
        </w:rPr>
      </w:pPr>
      <w:r>
        <w:t>磋商文件第四章所要求提供的证明材料；</w:t>
      </w:r>
    </w:p>
    <w:p>
      <w:pPr>
        <w:pStyle w:val="2"/>
        <w:widowControl/>
        <w:numPr>
          <w:ilvl w:val="0"/>
          <w:numId w:val="22"/>
        </w:numPr>
        <w:ind w:left="0" w:leftChars="0" w:firstLine="480" w:firstLineChars="0"/>
        <w:rPr>
          <w:b w:val="0"/>
        </w:rPr>
      </w:pPr>
      <w:r>
        <w:t>磋商供应商认为需要提供的文件和资料。</w:t>
      </w:r>
    </w:p>
    <w:p>
      <w:pPr>
        <w:pStyle w:val="2"/>
        <w:widowControl/>
        <w:numPr>
          <w:ilvl w:val="0"/>
          <w:numId w:val="21"/>
        </w:numPr>
        <w:ind w:left="0" w:leftChars="0" w:firstLine="480" w:firstLineChars="0"/>
        <w:rPr>
          <w:b w:val="0"/>
        </w:rPr>
      </w:pPr>
      <w:r>
        <w:t>其他响应文件：供应商须按磋商文件的要求编写其他响应文件，对磋商文</w:t>
      </w:r>
    </w:p>
    <w:p>
      <w:pPr>
        <w:pStyle w:val="2"/>
        <w:widowControl/>
      </w:pPr>
      <w:r>
        <w:t>件提出的要求和条件做出实质性响应。响应文件应包括但不限于下列内容：</w:t>
      </w:r>
    </w:p>
    <w:p>
      <w:pPr>
        <w:pStyle w:val="2"/>
        <w:widowControl/>
        <w:numPr>
          <w:ilvl w:val="0"/>
          <w:numId w:val="23"/>
        </w:numPr>
        <w:ind w:left="0" w:leftChars="0" w:firstLine="480" w:firstLineChars="0"/>
        <w:rPr>
          <w:b w:val="0"/>
        </w:rPr>
      </w:pPr>
      <w:r>
        <w:t>报价函；</w:t>
      </w:r>
    </w:p>
    <w:p>
      <w:pPr>
        <w:pStyle w:val="2"/>
        <w:widowControl/>
        <w:numPr>
          <w:ilvl w:val="0"/>
          <w:numId w:val="23"/>
        </w:numPr>
        <w:ind w:left="0" w:leftChars="0" w:firstLine="480" w:firstLineChars="0"/>
        <w:rPr>
          <w:b w:val="0"/>
        </w:rPr>
      </w:pPr>
      <w:r>
        <w:t>报价表；</w:t>
      </w:r>
    </w:p>
    <w:p>
      <w:pPr>
        <w:pStyle w:val="2"/>
        <w:widowControl/>
        <w:numPr>
          <w:ilvl w:val="0"/>
          <w:numId w:val="23"/>
        </w:numPr>
        <w:ind w:left="0" w:leftChars="0" w:firstLine="480" w:firstLineChars="0"/>
        <w:rPr>
          <w:b w:val="0"/>
        </w:rPr>
      </w:pPr>
      <w:r>
        <w:t>技术、服务、商务和合同重要条款响应偏离表；</w:t>
      </w:r>
    </w:p>
    <w:p>
      <w:pPr>
        <w:pStyle w:val="2"/>
        <w:widowControl/>
        <w:numPr>
          <w:ilvl w:val="0"/>
          <w:numId w:val="23"/>
        </w:numPr>
        <w:ind w:left="0" w:leftChars="0" w:firstLine="480" w:firstLineChars="0"/>
        <w:rPr>
          <w:b w:val="0"/>
        </w:rPr>
      </w:pPr>
      <w:r>
        <w:t>供应商应按照磋商文件中售后服务要求作出的积极响应和有利于采购人的 承诺；  (如适用)</w:t>
      </w:r>
    </w:p>
    <w:p>
      <w:pPr>
        <w:pStyle w:val="2"/>
        <w:widowControl/>
        <w:numPr>
          <w:ilvl w:val="0"/>
          <w:numId w:val="23"/>
        </w:numPr>
        <w:ind w:left="0" w:leftChars="0" w:firstLine="480" w:firstLineChars="0"/>
        <w:rPr>
          <w:b w:val="0"/>
        </w:rPr>
      </w:pPr>
      <w:r>
        <w:t>质量保证和售后服务承诺、服务计划等文件；</w:t>
      </w:r>
    </w:p>
    <w:p>
      <w:pPr>
        <w:pStyle w:val="2"/>
        <w:widowControl/>
        <w:numPr>
          <w:ilvl w:val="0"/>
          <w:numId w:val="23"/>
        </w:numPr>
        <w:ind w:left="0" w:leftChars="0" w:firstLine="480" w:firstLineChars="0"/>
        <w:rPr>
          <w:b w:val="0"/>
        </w:rPr>
      </w:pPr>
      <w:r>
        <w:t>磋商供应商认为需要提供的文件和资料。</w:t>
      </w:r>
    </w:p>
    <w:p>
      <w:pPr>
        <w:pStyle w:val="2"/>
        <w:widowControl/>
        <w:numPr>
          <w:ilvl w:val="0"/>
          <w:numId w:val="21"/>
        </w:numPr>
        <w:ind w:left="0" w:leftChars="0" w:firstLine="480" w:firstLineChars="0"/>
        <w:rPr>
          <w:b w:val="0"/>
        </w:rPr>
      </w:pPr>
      <w:r>
        <w:t>其他部分。供应商按照磋商文件要求作出的其他应答和承诺。</w:t>
      </w:r>
    </w:p>
    <w:p>
      <w:pPr>
        <w:pStyle w:val="2"/>
        <w:widowControl/>
        <w:numPr>
          <w:ilvl w:val="0"/>
          <w:numId w:val="19"/>
        </w:numPr>
        <w:ind w:left="0" w:leftChars="0" w:firstLine="480" w:firstLineChars="0"/>
        <w:rPr>
          <w:b w:val="0"/>
        </w:rPr>
      </w:pPr>
      <w:r>
        <w:t>响应文件的编制和签署</w:t>
      </w:r>
    </w:p>
    <w:p>
      <w:pPr>
        <w:pStyle w:val="2"/>
        <w:widowControl/>
        <w:numPr>
          <w:ilvl w:val="0"/>
          <w:numId w:val="24"/>
        </w:numPr>
        <w:ind w:left="0" w:leftChars="0" w:firstLine="480" w:firstLineChars="0"/>
        <w:rPr>
          <w:b w:val="0"/>
        </w:rPr>
      </w:pPr>
      <w:r>
        <w:t xml:space="preserve">资格性响应文件及其他响应文件应在其封面上清楚地标明资格性响应文件  </w:t>
      </w:r>
      <w:r>
        <w:tab/>
      </w:r>
      <w:r>
        <w:t>(其他响应文件) 、采购项目名称、采购项目编号及包号、供应商名称以及“正本” 或“副本”“电子文档”字样。若正本和副本有不一致的内容，以正本书面响应文 件为准。</w:t>
      </w:r>
    </w:p>
    <w:p>
      <w:pPr>
        <w:pStyle w:val="2"/>
        <w:widowControl/>
        <w:numPr>
          <w:ilvl w:val="0"/>
          <w:numId w:val="24"/>
        </w:numPr>
        <w:ind w:left="0" w:leftChars="0" w:firstLine="480" w:firstLineChars="0"/>
        <w:rPr>
          <w:b w:val="0"/>
        </w:rPr>
      </w:pPr>
      <w:r>
        <w:t>响应文件正本和副本均需在规定签章处签字和盖章。响应文件副本可采用 正本的复印件。</w:t>
      </w:r>
    </w:p>
    <w:p>
      <w:pPr>
        <w:pStyle w:val="2"/>
        <w:widowControl/>
        <w:numPr>
          <w:ilvl w:val="0"/>
          <w:numId w:val="24"/>
        </w:numPr>
        <w:ind w:left="0" w:leftChars="0" w:firstLine="480" w:firstLineChars="0"/>
        <w:rPr>
          <w:b w:val="0"/>
        </w:rPr>
      </w:pPr>
      <w:r>
        <w:t>响应文件的打印和书写应清楚工整，任何行间插字、涂改或增删，必须由供 应商的法定代表人或其授权代表签字并盖供应商公章。</w:t>
      </w:r>
    </w:p>
    <w:p>
      <w:pPr>
        <w:pStyle w:val="2"/>
        <w:widowControl/>
        <w:numPr>
          <w:ilvl w:val="0"/>
          <w:numId w:val="24"/>
        </w:numPr>
        <w:ind w:left="0" w:leftChars="0" w:firstLine="480" w:firstLineChars="0"/>
        <w:rPr>
          <w:b w:val="0"/>
        </w:rPr>
      </w:pPr>
      <w:r>
        <w:t>(实质性要求) 响应文件应由供应商法定代表人/主要负责人/本人或其授权 代表在响应文件要求的地方签字 (或加盖私人印章) ，要求加盖公章的地方加盖单位 公章，不得使用专用章 (如经济合同章、投标专用章等) 或下属单位印章代替。响应 文件的正本和副本均需打印或用不褪色、不变质的墨水书写。</w:t>
      </w:r>
    </w:p>
    <w:p>
      <w:pPr>
        <w:pStyle w:val="2"/>
        <w:widowControl/>
        <w:numPr>
          <w:ilvl w:val="0"/>
          <w:numId w:val="24"/>
        </w:numPr>
        <w:ind w:left="0" w:leftChars="0" w:firstLine="480" w:firstLineChars="0"/>
        <w:rPr>
          <w:b w:val="0"/>
        </w:rPr>
      </w:pPr>
      <w:r>
        <w:t>响应文件正本和副本需要逐页编目编码。</w:t>
      </w:r>
    </w:p>
    <w:p>
      <w:pPr>
        <w:pStyle w:val="2"/>
        <w:widowControl/>
        <w:numPr>
          <w:ilvl w:val="0"/>
          <w:numId w:val="24"/>
        </w:numPr>
        <w:ind w:left="0" w:leftChars="0" w:firstLine="480" w:firstLineChars="0"/>
        <w:rPr>
          <w:b w:val="0"/>
        </w:rPr>
      </w:pPr>
      <w:r>
        <w:t>响应文件正本和副本应当采用胶装方式装订成册，不得散装或者合页装订。 18.7 (实质性要求) 响应文件应根据磋商文件的要求签署、盖章。</w:t>
      </w:r>
    </w:p>
    <w:p>
      <w:pPr>
        <w:pStyle w:val="2"/>
        <w:widowControl/>
        <w:numPr>
          <w:ilvl w:val="0"/>
          <w:numId w:val="24"/>
        </w:numPr>
        <w:ind w:left="0" w:leftChars="0" w:firstLine="480" w:firstLineChars="0"/>
        <w:rPr>
          <w:b w:val="0"/>
        </w:rPr>
      </w:pPr>
      <w:r>
        <w:t>响应文件统一用 A4 幅面纸印制。</w:t>
      </w:r>
    </w:p>
    <w:p>
      <w:pPr>
        <w:pStyle w:val="2"/>
        <w:widowControl/>
        <w:numPr>
          <w:ilvl w:val="0"/>
          <w:numId w:val="19"/>
        </w:numPr>
        <w:ind w:left="0" w:leftChars="0" w:firstLine="480" w:firstLineChars="0"/>
        <w:rPr>
          <w:b w:val="0"/>
        </w:rPr>
      </w:pPr>
      <w:r>
        <w:t>响应文件的密封和标注</w:t>
      </w:r>
    </w:p>
    <w:p>
      <w:pPr>
        <w:pStyle w:val="2"/>
        <w:widowControl/>
        <w:numPr>
          <w:ilvl w:val="0"/>
          <w:numId w:val="25"/>
        </w:numPr>
        <w:ind w:left="0" w:leftChars="0" w:firstLine="480" w:firstLineChars="0"/>
        <w:rPr>
          <w:b w:val="0"/>
        </w:rPr>
      </w:pPr>
      <w:r>
        <w:t>资格性响应文件为正本 1 份副本 2 份，并在其封面上清楚地标明资格性响应文件、采购项目名称、项目编号、供应商名称以及“正本”或“副本”字样。</w:t>
      </w:r>
    </w:p>
    <w:p>
      <w:pPr>
        <w:pStyle w:val="2"/>
        <w:widowControl/>
        <w:numPr>
          <w:ilvl w:val="0"/>
          <w:numId w:val="25"/>
        </w:numPr>
        <w:ind w:left="0" w:leftChars="0" w:firstLine="480" w:firstLineChars="0"/>
        <w:rPr>
          <w:b w:val="0"/>
        </w:rPr>
      </w:pPr>
      <w:r>
        <w:t>密封后的封口上加盖供应商公章，磋商前不得启封，未密封的响应文件，采购人拒收。</w:t>
      </w:r>
    </w:p>
    <w:p>
      <w:pPr>
        <w:pStyle w:val="2"/>
        <w:widowControl/>
        <w:numPr>
          <w:ilvl w:val="0"/>
          <w:numId w:val="19"/>
        </w:numPr>
        <w:ind w:left="0" w:leftChars="0" w:firstLine="480" w:firstLineChars="0"/>
        <w:rPr>
          <w:b w:val="0"/>
        </w:rPr>
      </w:pPr>
      <w:r>
        <w:t>磋商截止时间</w:t>
      </w:r>
    </w:p>
    <w:p>
      <w:pPr>
        <w:pStyle w:val="2"/>
        <w:widowControl/>
      </w:pPr>
      <w:r>
        <w:t>所有响应文件都必须按“竞争性磋商邀请”中规定的递交截止时间之前送达 规定地点。</w:t>
      </w:r>
    </w:p>
    <w:p>
      <w:pPr>
        <w:pStyle w:val="2"/>
        <w:widowControl/>
        <w:numPr>
          <w:ilvl w:val="0"/>
          <w:numId w:val="19"/>
        </w:numPr>
        <w:ind w:left="0" w:leftChars="0" w:firstLine="480" w:firstLineChars="0"/>
        <w:rPr>
          <w:b w:val="0"/>
        </w:rPr>
      </w:pPr>
      <w:r>
        <w:t>响应文件的递交</w:t>
      </w:r>
    </w:p>
    <w:p/>
    <w:p>
      <w:pPr>
        <w:pStyle w:val="2"/>
        <w:widowControl/>
        <w:numPr>
          <w:ilvl w:val="0"/>
          <w:numId w:val="26"/>
        </w:numPr>
        <w:ind w:left="0" w:leftChars="0" w:firstLine="480" w:firstLineChars="0"/>
        <w:rPr>
          <w:b w:val="0"/>
        </w:rPr>
      </w:pPr>
      <w:r>
        <w:t>资格性响应文件和其他响应文件应于递交响应文件截止时间前送达指定地</w:t>
      </w:r>
    </w:p>
    <w:p>
      <w:pPr>
        <w:pStyle w:val="2"/>
        <w:widowControl/>
      </w:pPr>
      <w:r>
        <w:t>点，采购人拒绝接收截止时间后送达的响应文件。</w:t>
      </w:r>
    </w:p>
    <w:p>
      <w:pPr>
        <w:pStyle w:val="2"/>
        <w:widowControl/>
        <w:numPr>
          <w:ilvl w:val="0"/>
          <w:numId w:val="26"/>
        </w:numPr>
        <w:ind w:left="0" w:leftChars="0" w:firstLine="480" w:firstLineChars="0"/>
        <w:rPr>
          <w:b w:val="0"/>
        </w:rPr>
      </w:pPr>
      <w:r>
        <w:t>采购人将向通过资格审查的供应商发出磋商邀请；告知未通过资格审查的供应商未通过的原因。</w:t>
      </w:r>
    </w:p>
    <w:p>
      <w:pPr>
        <w:pStyle w:val="2"/>
        <w:widowControl/>
        <w:numPr>
          <w:ilvl w:val="0"/>
          <w:numId w:val="26"/>
        </w:numPr>
        <w:ind w:left="0" w:leftChars="0" w:firstLine="480" w:firstLineChars="0"/>
        <w:rPr>
          <w:b w:val="0"/>
        </w:rPr>
      </w:pPr>
      <w:r>
        <w:t>最终报价信在磋商后，磋商小组要求供应商进行最后报价时递交。</w:t>
      </w:r>
    </w:p>
    <w:p>
      <w:pPr>
        <w:pStyle w:val="2"/>
        <w:widowControl/>
        <w:numPr>
          <w:ilvl w:val="0"/>
          <w:numId w:val="26"/>
        </w:numPr>
        <w:ind w:left="0" w:leftChars="0" w:firstLine="480" w:firstLineChars="0"/>
        <w:rPr>
          <w:rFonts w:ascii="宋体" w:hAnsi="宋体" w:eastAsia="宋体" w:cs="宋体"/>
          <w:spacing w:val="11"/>
          <w:sz w:val="23"/>
          <w:szCs w:val="23"/>
          <w14:textOutline w14:w="4358" w14:cap="sq" w14:cmpd="sng">
            <w14:solidFill>
              <w14:srgbClr w14:val="000000"/>
            </w14:solidFill>
            <w14:prstDash w14:val="solid"/>
            <w14:bevel/>
          </w14:textOutline>
        </w:rPr>
      </w:pPr>
      <w:r>
        <w:rPr>
          <w:b w:val="0"/>
          <w:bCs w:val="0"/>
        </w:rPr>
        <w:t>本</w:t>
      </w:r>
      <w:r>
        <w:t>次采购不接收邮寄的响应文件。</w:t>
      </w:r>
    </w:p>
    <w:p>
      <w:pPr>
        <w:pStyle w:val="4"/>
        <w:widowControl/>
        <w:numPr>
          <w:ilvl w:val="0"/>
          <w:numId w:val="8"/>
        </w:numPr>
        <w:topLinePunct w:val="0"/>
        <w:ind w:left="0" w:leftChars="0" w:firstLine="0" w:firstLineChars="0"/>
      </w:pPr>
      <w:bookmarkStart w:id="20" w:name="_Toc3629"/>
      <w:r>
        <w:t>报价要求</w:t>
      </w:r>
      <w:bookmarkEnd w:id="20"/>
    </w:p>
    <w:p>
      <w:pPr>
        <w:pStyle w:val="5"/>
        <w:widowControl/>
        <w:numPr>
          <w:ilvl w:val="0"/>
          <w:numId w:val="27"/>
        </w:numPr>
        <w:ind w:left="0" w:leftChars="0" w:firstLine="0" w:firstLineChars="0"/>
        <w:rPr>
          <w:b/>
        </w:rPr>
      </w:pPr>
      <w:r>
        <w:t>报价</w:t>
      </w:r>
    </w:p>
    <w:p>
      <w:pPr>
        <w:pStyle w:val="2"/>
        <w:widowControl/>
      </w:pPr>
      <w:r>
        <w:t>按照磋商文件“响应文件格式”中报价表、最终报价信的要求进行报价。</w:t>
      </w:r>
    </w:p>
    <w:p>
      <w:pPr>
        <w:spacing w:line="348" w:lineRule="auto"/>
        <w:rPr>
          <w:rFonts w:ascii="Arial"/>
          <w:sz w:val="21"/>
        </w:rPr>
      </w:pPr>
    </w:p>
    <w:p>
      <w:pPr>
        <w:pStyle w:val="5"/>
        <w:widowControl/>
        <w:numPr>
          <w:ilvl w:val="0"/>
          <w:numId w:val="27"/>
        </w:numPr>
        <w:ind w:left="0" w:leftChars="0" w:firstLine="0" w:firstLineChars="0"/>
        <w:rPr>
          <w:b/>
        </w:rPr>
      </w:pPr>
      <w:r>
        <w:t>项目承包</w:t>
      </w:r>
    </w:p>
    <w:p>
      <w:pPr>
        <w:pStyle w:val="2"/>
        <w:widowControl/>
      </w:pPr>
      <w:r>
        <w:t>本次竞争性磋商文件内容，由供应商参照磋商文件的要求进行报价。除合同条款 中确定遇不可抗力因素外，在项目实施过程中发生的一切事故、问题和可能发生的费 用均由供应商自行负责。总报价应包括承诺为完成本项目所发生的所有费用，并承担 一切风险责任。</w:t>
      </w:r>
    </w:p>
    <w:p>
      <w:pPr>
        <w:pStyle w:val="5"/>
        <w:widowControl/>
        <w:numPr>
          <w:ilvl w:val="0"/>
          <w:numId w:val="27"/>
        </w:numPr>
        <w:ind w:left="0" w:leftChars="0" w:firstLine="0" w:firstLineChars="0"/>
        <w:rPr>
          <w:b/>
        </w:rPr>
      </w:pPr>
      <w:r>
        <w:t>报价要求</w:t>
      </w:r>
    </w:p>
    <w:p>
      <w:pPr>
        <w:pStyle w:val="2"/>
        <w:widowControl/>
      </w:pPr>
      <w:r>
        <w:t>供应商应以磋商文件内容作为报价基础，本次项目只允许有一个报价，有选择的报价将不予接受。 供应商应充分考虑项目实施过程中可能发生的一切费用，所有费用均应计入总报价。</w:t>
      </w:r>
    </w:p>
    <w:p>
      <w:pPr>
        <w:pStyle w:val="4"/>
        <w:widowControl/>
        <w:numPr>
          <w:ilvl w:val="0"/>
          <w:numId w:val="8"/>
        </w:numPr>
        <w:topLinePunct w:val="0"/>
        <w:ind w:left="0" w:leftChars="0" w:firstLine="0" w:firstLineChars="0"/>
        <w:rPr>
          <w:rFonts w:ascii="Arial"/>
          <w:sz w:val="21"/>
        </w:rPr>
      </w:pPr>
      <w:bookmarkStart w:id="21" w:name="_Toc10733"/>
      <w:r>
        <w:t>磋商与最终报价</w:t>
      </w:r>
      <w:bookmarkEnd w:id="21"/>
    </w:p>
    <w:p>
      <w:pPr>
        <w:pStyle w:val="5"/>
        <w:widowControl/>
        <w:numPr>
          <w:ilvl w:val="0"/>
          <w:numId w:val="28"/>
        </w:numPr>
        <w:topLinePunct w:val="0"/>
        <w:ind w:left="0" w:leftChars="0" w:firstLine="0" w:firstLineChars="0"/>
        <w:rPr>
          <w:b/>
        </w:rPr>
      </w:pPr>
      <w:r>
        <w:t>磋商</w:t>
      </w:r>
    </w:p>
    <w:p>
      <w:pPr>
        <w:pStyle w:val="2"/>
        <w:widowControl/>
        <w:numPr>
          <w:ilvl w:val="0"/>
          <w:numId w:val="29"/>
        </w:numPr>
        <w:ind w:left="0" w:leftChars="0" w:firstLine="480" w:firstLineChars="0"/>
        <w:rPr>
          <w:b w:val="0"/>
        </w:rPr>
      </w:pPr>
      <w:r>
        <w:t>采购人将在“供应商磋商须知附表”中规定的时间和地点组织磋商。 供应商须派授权代表参加，同时带授权书原件及身份证原件 (法定代表人参加只需携 带身份证原件) ，并签名报到以证明其出席。</w:t>
      </w:r>
    </w:p>
    <w:p>
      <w:pPr>
        <w:pStyle w:val="2"/>
        <w:widowControl/>
        <w:numPr>
          <w:ilvl w:val="0"/>
          <w:numId w:val="29"/>
        </w:numPr>
        <w:ind w:left="0" w:leftChars="0" w:firstLine="480" w:firstLineChars="0"/>
        <w:rPr>
          <w:b w:val="0"/>
        </w:rPr>
      </w:pPr>
      <w:r>
        <w:t>磋商开始前将由供应商或者其推选的代表检查响应文件的密封情况。</w:t>
      </w:r>
    </w:p>
    <w:p>
      <w:pPr>
        <w:pStyle w:val="2"/>
        <w:widowControl/>
        <w:numPr>
          <w:ilvl w:val="0"/>
          <w:numId w:val="29"/>
        </w:numPr>
        <w:ind w:left="0" w:leftChars="0" w:firstLine="480" w:firstLineChars="0"/>
        <w:rPr>
          <w:b w:val="0"/>
        </w:rPr>
      </w:pPr>
      <w:r>
        <w:t>响应文件有下列情况之一者视为无效：</w:t>
      </w:r>
    </w:p>
    <w:p>
      <w:pPr>
        <w:pStyle w:val="2"/>
        <w:widowControl/>
        <w:numPr>
          <w:ilvl w:val="0"/>
          <w:numId w:val="30"/>
        </w:numPr>
        <w:ind w:left="0" w:leftChars="0" w:firstLine="480" w:firstLineChars="0"/>
        <w:rPr>
          <w:b w:val="0"/>
        </w:rPr>
      </w:pPr>
      <w:r>
        <w:t>响应文件未密封；</w:t>
      </w:r>
    </w:p>
    <w:p>
      <w:pPr>
        <w:pStyle w:val="2"/>
        <w:widowControl/>
        <w:numPr>
          <w:ilvl w:val="0"/>
          <w:numId w:val="30"/>
        </w:numPr>
        <w:ind w:left="0" w:leftChars="0" w:firstLine="480" w:firstLineChars="0"/>
        <w:rPr>
          <w:b w:val="0"/>
        </w:rPr>
      </w:pPr>
      <w:r>
        <w:t>未经法定代表人签字 (或加盖法定代表人名章) 或未盖供应商公章；</w:t>
      </w:r>
    </w:p>
    <w:p>
      <w:pPr>
        <w:pStyle w:val="2"/>
        <w:widowControl/>
        <w:numPr>
          <w:ilvl w:val="0"/>
          <w:numId w:val="30"/>
        </w:numPr>
        <w:ind w:left="0" w:leftChars="0" w:firstLine="480" w:firstLineChars="0"/>
        <w:rPr>
          <w:b w:val="0"/>
        </w:rPr>
      </w:pPr>
      <w:r>
        <w:t>供应商针对同一项目递交两份或多份内容不同的响应文件，未书面声明哪 一份有效的；</w:t>
      </w:r>
    </w:p>
    <w:p>
      <w:pPr>
        <w:pStyle w:val="2"/>
        <w:widowControl/>
        <w:numPr>
          <w:ilvl w:val="0"/>
          <w:numId w:val="30"/>
        </w:numPr>
        <w:ind w:left="0" w:leftChars="0" w:firstLine="480" w:firstLineChars="0"/>
        <w:rPr>
          <w:b w:val="0"/>
        </w:rPr>
      </w:pPr>
      <w:r>
        <w:t>供应商在一份响应文件中，对同一项目有两个或多个报价的。</w:t>
      </w:r>
    </w:p>
    <w:p>
      <w:pPr>
        <w:pStyle w:val="2"/>
        <w:widowControl/>
        <w:numPr>
          <w:ilvl w:val="0"/>
          <w:numId w:val="29"/>
        </w:numPr>
        <w:ind w:left="0" w:leftChars="0" w:firstLine="480" w:firstLineChars="0"/>
        <w:rPr>
          <w:b w:val="0"/>
        </w:rPr>
      </w:pPr>
      <w:r>
        <w:t>在初审的基础上，对已按规定递交了响应文件的供应商就本项目的技术、商 务及售后服务等内容，磋商小组所有成员与之磋商。</w:t>
      </w:r>
    </w:p>
    <w:p>
      <w:pPr>
        <w:pStyle w:val="5"/>
        <w:widowControl/>
        <w:numPr>
          <w:ilvl w:val="0"/>
          <w:numId w:val="28"/>
        </w:numPr>
        <w:topLinePunct w:val="0"/>
        <w:ind w:left="0" w:leftChars="0" w:firstLine="0" w:firstLineChars="0"/>
        <w:rPr>
          <w:b/>
        </w:rPr>
      </w:pPr>
      <w:r>
        <w:t>最终报价</w:t>
      </w:r>
    </w:p>
    <w:p>
      <w:pPr>
        <w:pStyle w:val="2"/>
        <w:widowControl/>
      </w:pPr>
      <w:r>
        <w:t>磋商后，供应商须在磋商小组要求的时间内作出最终报价，该报价须供应商的授权代表签字或盖章确认为有效。</w:t>
      </w:r>
    </w:p>
    <w:p>
      <w:pPr>
        <w:pStyle w:val="4"/>
        <w:widowControl/>
        <w:numPr>
          <w:ilvl w:val="0"/>
          <w:numId w:val="8"/>
        </w:numPr>
        <w:topLinePunct w:val="0"/>
        <w:ind w:left="0" w:leftChars="0" w:firstLine="0" w:firstLineChars="0"/>
        <w:rPr>
          <w:rFonts w:ascii="Arial"/>
          <w:sz w:val="21"/>
        </w:rPr>
      </w:pPr>
      <w:bookmarkStart w:id="22" w:name="_Toc20198"/>
      <w:r>
        <w:t>评审</w:t>
      </w:r>
      <w:bookmarkEnd w:id="22"/>
    </w:p>
    <w:p>
      <w:pPr>
        <w:pStyle w:val="2"/>
        <w:widowControl/>
      </w:pPr>
      <w:r>
        <w:t>27.磋商小组的组建及其评审工作按照有关法律制度和本文件第八章的规定进</w:t>
      </w:r>
    </w:p>
    <w:p>
      <w:pPr>
        <w:pStyle w:val="2"/>
        <w:widowControl/>
        <w:rPr>
          <w:rFonts w:ascii="Arial"/>
          <w:sz w:val="21"/>
        </w:rPr>
      </w:pPr>
      <w:r>
        <w:pict>
          <v:shape id="_x0000_s1028" o:spid="_x0000_s1028" o:spt="202" type="#_x0000_t202" style="position:absolute;left:0pt;margin-left:-0.3pt;margin-top:-4.95pt;height:16.25pt;width:13.35pt;z-index:2516623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3"/>
                      <w:szCs w:val="23"/>
                    </w:rPr>
                  </w:pPr>
                  <w:r>
                    <w:rPr>
                      <w:rFonts w:ascii="宋体" w:hAnsi="宋体" w:eastAsia="宋体" w:cs="宋体"/>
                      <w:sz w:val="23"/>
                      <w:szCs w:val="23"/>
                    </w:rPr>
                    <w:t>行</w:t>
                  </w:r>
                </w:p>
              </w:txbxContent>
            </v:textbox>
          </v:shape>
        </w:pict>
      </w:r>
      <w:r>
        <w:t>。</w:t>
      </w:r>
    </w:p>
    <w:p>
      <w:pPr>
        <w:pStyle w:val="4"/>
        <w:widowControl/>
        <w:numPr>
          <w:ilvl w:val="0"/>
          <w:numId w:val="8"/>
        </w:numPr>
        <w:topLinePunct w:val="0"/>
        <w:ind w:left="0" w:leftChars="0" w:firstLine="0" w:firstLineChars="0"/>
        <w:rPr>
          <w:rFonts w:ascii="Arial"/>
          <w:sz w:val="21"/>
        </w:rPr>
      </w:pPr>
      <w:bookmarkStart w:id="23" w:name="_Toc13694"/>
      <w:r>
        <w:t>成交事项</w:t>
      </w:r>
      <w:bookmarkEnd w:id="23"/>
    </w:p>
    <w:p>
      <w:pPr>
        <w:pStyle w:val="5"/>
        <w:widowControl/>
        <w:numPr>
          <w:ilvl w:val="0"/>
          <w:numId w:val="31"/>
        </w:numPr>
        <w:ind w:left="0" w:leftChars="0" w:firstLine="0" w:firstLineChars="0"/>
        <w:rPr>
          <w:b/>
        </w:rPr>
      </w:pPr>
      <w:r>
        <w:t>确定成交供应商</w:t>
      </w:r>
    </w:p>
    <w:p>
      <w:pPr>
        <w:pStyle w:val="2"/>
        <w:widowControl/>
      </w:pPr>
      <w:bookmarkStart w:id="24" w:name="_Toc2593"/>
      <w:bookmarkStart w:id="25" w:name="_Toc1694"/>
      <w:r>
        <w:t>采购人将按磋商小组推荐的成交候选供应商顺序确定成交供应商。</w:t>
      </w:r>
      <w:bookmarkEnd w:id="24"/>
      <w:bookmarkEnd w:id="25"/>
    </w:p>
    <w:p>
      <w:pPr>
        <w:pStyle w:val="2"/>
        <w:widowControl/>
        <w:numPr>
          <w:ilvl w:val="0"/>
          <w:numId w:val="32"/>
        </w:numPr>
        <w:ind w:left="0" w:leftChars="0" w:firstLine="480" w:firstLineChars="0"/>
        <w:rPr>
          <w:b w:val="0"/>
        </w:rPr>
      </w:pPr>
      <w:bookmarkStart w:id="26" w:name="_Toc13364"/>
      <w:bookmarkStart w:id="27" w:name="_Toc14905"/>
      <w:r>
        <w:t>磋商小组将磋商报告及有关资料送交采购</w:t>
      </w:r>
      <w:bookmarkEnd w:id="26"/>
      <w:bookmarkEnd w:id="27"/>
      <w:r>
        <w:t>人确定成交供应商。</w:t>
      </w:r>
    </w:p>
    <w:p>
      <w:pPr>
        <w:pStyle w:val="2"/>
        <w:widowControl/>
        <w:numPr>
          <w:ilvl w:val="0"/>
          <w:numId w:val="32"/>
        </w:numPr>
        <w:ind w:left="0" w:leftChars="0" w:firstLine="480" w:firstLineChars="0"/>
        <w:rPr>
          <w:b w:val="0"/>
        </w:rPr>
      </w:pPr>
      <w:bookmarkStart w:id="28" w:name="_Toc29388"/>
      <w:bookmarkStart w:id="29" w:name="_Toc31100"/>
      <w:r>
        <w:t>采购人收到磋商报告及有关资料后，将在5个工作日内按照磋商报告中推荐</w:t>
      </w:r>
      <w:bookmarkEnd w:id="28"/>
      <w:bookmarkEnd w:id="29"/>
    </w:p>
    <w:p>
      <w:pPr>
        <w:pStyle w:val="2"/>
        <w:widowControl/>
      </w:pPr>
      <w:r>
        <w:t>的成交候选供应商顺序确定成交供应商。成交候选供应商并列的，采购人自主采取公 平、择优的方式选择成交供应商。采购人逾期未确定成交供应商且不提出异议的，视 为确定磋商报告提出的排序第一的供应商为成交供应商。</w:t>
      </w:r>
    </w:p>
    <w:p>
      <w:pPr>
        <w:pStyle w:val="2"/>
        <w:widowControl/>
        <w:numPr>
          <w:ilvl w:val="0"/>
          <w:numId w:val="32"/>
        </w:numPr>
        <w:ind w:left="0" w:leftChars="0" w:firstLine="480" w:firstLineChars="0"/>
        <w:rPr>
          <w:b w:val="0"/>
        </w:rPr>
      </w:pPr>
      <w:bookmarkStart w:id="30" w:name="_Toc10158"/>
      <w:bookmarkStart w:id="31" w:name="_Toc27833"/>
      <w:r>
        <w:t>采购人确定成交供应商过程中，发现成交候选供应商有下列情形之一的，应</w:t>
      </w:r>
      <w:bookmarkEnd w:id="30"/>
      <w:bookmarkEnd w:id="31"/>
    </w:p>
    <w:p>
      <w:pPr>
        <w:pStyle w:val="2"/>
        <w:widowControl/>
      </w:pPr>
      <w:r>
        <w:t>当不予确定其为成交供应商：</w:t>
      </w:r>
    </w:p>
    <w:p>
      <w:pPr>
        <w:pStyle w:val="2"/>
        <w:widowControl/>
        <w:numPr>
          <w:ilvl w:val="0"/>
          <w:numId w:val="33"/>
        </w:numPr>
        <w:ind w:left="0" w:leftChars="0" w:firstLine="480" w:firstLineChars="0"/>
        <w:rPr>
          <w:b w:val="0"/>
        </w:rPr>
      </w:pPr>
      <w:bookmarkStart w:id="32" w:name="_Toc425"/>
      <w:bookmarkStart w:id="33" w:name="_Toc569"/>
      <w:r>
        <w:t>发现成交候选供应商存在禁止参加本项目采购活动的违法行为的；</w:t>
      </w:r>
      <w:bookmarkEnd w:id="32"/>
      <w:bookmarkEnd w:id="33"/>
    </w:p>
    <w:p>
      <w:pPr>
        <w:pStyle w:val="2"/>
        <w:widowControl/>
        <w:numPr>
          <w:ilvl w:val="0"/>
          <w:numId w:val="33"/>
        </w:numPr>
        <w:ind w:left="0" w:leftChars="0" w:firstLine="480" w:firstLineChars="0"/>
        <w:rPr>
          <w:b w:val="0"/>
        </w:rPr>
      </w:pPr>
      <w:bookmarkStart w:id="34" w:name="_Toc3205"/>
      <w:bookmarkStart w:id="35" w:name="_Toc2759"/>
      <w:r>
        <w:t>成交候选供应商因不可抗力，不能继续参加采购活动；</w:t>
      </w:r>
      <w:bookmarkEnd w:id="34"/>
      <w:bookmarkEnd w:id="35"/>
    </w:p>
    <w:p>
      <w:pPr>
        <w:pStyle w:val="2"/>
        <w:widowControl/>
        <w:numPr>
          <w:ilvl w:val="0"/>
          <w:numId w:val="33"/>
        </w:numPr>
        <w:ind w:left="0" w:leftChars="0" w:firstLine="480" w:firstLineChars="0"/>
        <w:rPr>
          <w:b w:val="0"/>
        </w:rPr>
      </w:pPr>
      <w:bookmarkStart w:id="36" w:name="_Toc4578"/>
      <w:bookmarkStart w:id="37" w:name="_Toc22905"/>
      <w:r>
        <w:t>成交候选供应商无偿赠与或者低于成本价竞争；</w:t>
      </w:r>
      <w:bookmarkEnd w:id="36"/>
      <w:bookmarkEnd w:id="37"/>
    </w:p>
    <w:p>
      <w:pPr>
        <w:pStyle w:val="2"/>
        <w:widowControl/>
        <w:numPr>
          <w:ilvl w:val="0"/>
          <w:numId w:val="33"/>
        </w:numPr>
        <w:ind w:left="0" w:leftChars="0" w:firstLine="480" w:firstLineChars="0"/>
        <w:rPr>
          <w:b w:val="0"/>
        </w:rPr>
      </w:pPr>
      <w:bookmarkStart w:id="38" w:name="_Toc16949"/>
      <w:bookmarkStart w:id="39" w:name="_Toc26224"/>
      <w:r>
        <w:t>成交候选供应商提供虚假材料；</w:t>
      </w:r>
      <w:bookmarkEnd w:id="38"/>
      <w:bookmarkEnd w:id="39"/>
    </w:p>
    <w:p>
      <w:pPr>
        <w:pStyle w:val="2"/>
        <w:widowControl/>
        <w:numPr>
          <w:ilvl w:val="0"/>
          <w:numId w:val="33"/>
        </w:numPr>
        <w:ind w:left="0" w:leftChars="0" w:firstLine="480" w:firstLineChars="0"/>
        <w:rPr>
          <w:b w:val="0"/>
        </w:rPr>
      </w:pPr>
      <w:bookmarkStart w:id="40" w:name="_Toc1686"/>
      <w:bookmarkStart w:id="41" w:name="_Toc4265"/>
      <w:r>
        <w:t>成交候选供应商恶意串通。</w:t>
      </w:r>
      <w:bookmarkEnd w:id="40"/>
      <w:bookmarkEnd w:id="41"/>
    </w:p>
    <w:p>
      <w:pPr>
        <w:pStyle w:val="2"/>
        <w:widowControl/>
      </w:pPr>
      <w:bookmarkStart w:id="42" w:name="_Toc31333"/>
      <w:r>
        <w:t>成交候选供应商有本条情形之一的，采购人可以参照《政府采购非招标采购方式</w:t>
      </w:r>
      <w:bookmarkEnd w:id="42"/>
      <w:bookmarkStart w:id="43" w:name="_Toc22819"/>
    </w:p>
    <w:p>
      <w:pPr>
        <w:pStyle w:val="2"/>
        <w:widowControl/>
      </w:pPr>
      <w:r>
        <w:t>管理办法》等相关规定确定后一位成交候选供应商为成交供应商，依次类推。无法确 定成交供应商的，应当重新组织采购。</w:t>
      </w:r>
      <w:bookmarkEnd w:id="43"/>
    </w:p>
    <w:p>
      <w:pPr>
        <w:pStyle w:val="5"/>
        <w:widowControl/>
        <w:numPr>
          <w:ilvl w:val="0"/>
          <w:numId w:val="31"/>
        </w:numPr>
        <w:ind w:left="0" w:leftChars="0" w:firstLine="0" w:firstLineChars="0"/>
        <w:rPr>
          <w:b/>
        </w:rPr>
      </w:pPr>
      <w:r>
        <w:t>行贿犯罪</w:t>
      </w:r>
    </w:p>
    <w:p>
      <w:pPr>
        <w:pStyle w:val="2"/>
        <w:widowControl/>
      </w:pPr>
      <w:bookmarkStart w:id="44" w:name="_Toc25854"/>
      <w:bookmarkStart w:id="45" w:name="_Toc10642"/>
      <w:r>
        <w:t>成交候选供应商单位及其现任法定代表人、主要负责人存在行贿犯罪记录的，成</w:t>
      </w:r>
      <w:bookmarkEnd w:id="44"/>
      <w:bookmarkEnd w:id="45"/>
    </w:p>
    <w:p>
      <w:pPr>
        <w:pStyle w:val="2"/>
        <w:widowControl/>
      </w:pPr>
      <w:r>
        <w:t>交后未签订采购合同的，将认定成交无效；成交后签订采购合同未履行的，将认定成 交无效，同时撤销采购合同；成交后签订采购合同且已经履行的，将认定采购活动违 法，由相关当事人承担赔偿责任。</w:t>
      </w:r>
    </w:p>
    <w:p>
      <w:pPr>
        <w:pStyle w:val="5"/>
        <w:widowControl/>
        <w:numPr>
          <w:ilvl w:val="0"/>
          <w:numId w:val="31"/>
        </w:numPr>
        <w:ind w:left="0" w:leftChars="0" w:firstLine="0" w:firstLineChars="0"/>
        <w:rPr>
          <w:b/>
        </w:rPr>
      </w:pPr>
      <w:r>
        <w:t>成交结果</w:t>
      </w:r>
    </w:p>
    <w:p>
      <w:pPr>
        <w:pStyle w:val="2"/>
        <w:widowControl/>
        <w:numPr>
          <w:ilvl w:val="0"/>
          <w:numId w:val="34"/>
        </w:numPr>
        <w:ind w:left="0" w:leftChars="0" w:firstLine="480" w:firstLineChars="0"/>
        <w:rPr>
          <w:b w:val="0"/>
        </w:rPr>
      </w:pPr>
      <w:r>
        <w:t>采购人确定成交供应商后，将及时书面通知采购代理机构，发出成交通知书 并发布成交结果公告。</w:t>
      </w:r>
    </w:p>
    <w:p>
      <w:pPr>
        <w:pStyle w:val="2"/>
        <w:widowControl/>
        <w:numPr>
          <w:ilvl w:val="0"/>
          <w:numId w:val="34"/>
        </w:numPr>
        <w:ind w:left="0" w:leftChars="0" w:firstLine="480" w:firstLineChars="0"/>
        <w:rPr>
          <w:b w:val="0"/>
        </w:rPr>
      </w:pPr>
      <w:r>
        <w:t>成交供应商应当及时领取成交通知书。</w:t>
      </w:r>
    </w:p>
    <w:p>
      <w:pPr>
        <w:pStyle w:val="5"/>
        <w:widowControl/>
        <w:numPr>
          <w:ilvl w:val="0"/>
          <w:numId w:val="31"/>
        </w:numPr>
        <w:ind w:left="0" w:leftChars="0" w:firstLine="0" w:firstLineChars="0"/>
        <w:rPr>
          <w:b/>
        </w:rPr>
      </w:pPr>
      <w:r>
        <w:t>成交通知书</w:t>
      </w:r>
    </w:p>
    <w:p>
      <w:pPr>
        <w:pStyle w:val="2"/>
        <w:widowControl/>
        <w:numPr>
          <w:ilvl w:val="0"/>
          <w:numId w:val="35"/>
        </w:numPr>
        <w:ind w:left="0" w:leftChars="0" w:firstLine="480" w:firstLineChars="0"/>
        <w:rPr>
          <w:b w:val="0"/>
        </w:rPr>
      </w:pPr>
      <w:bookmarkStart w:id="46" w:name="_Toc23520"/>
      <w:bookmarkStart w:id="47" w:name="_Toc24763"/>
      <w:r>
        <w:t>成交通知书为签订采购合同的依据之一，是合同的有效组成部分。</w:t>
      </w:r>
      <w:bookmarkEnd w:id="46"/>
      <w:bookmarkEnd w:id="47"/>
    </w:p>
    <w:p>
      <w:pPr>
        <w:pStyle w:val="2"/>
        <w:widowControl/>
        <w:numPr>
          <w:ilvl w:val="0"/>
          <w:numId w:val="35"/>
        </w:numPr>
        <w:ind w:left="0" w:leftChars="0" w:firstLine="480" w:firstLineChars="0"/>
        <w:rPr>
          <w:b w:val="0"/>
        </w:rPr>
      </w:pPr>
      <w:bookmarkStart w:id="48" w:name="_Toc17097"/>
      <w:bookmarkStart w:id="49" w:name="_Toc13969"/>
      <w:r>
        <w:t>成交通知书对采购人和成交供应商均具有法律效力。成交通知书发出后，采</w:t>
      </w:r>
      <w:bookmarkEnd w:id="48"/>
      <w:bookmarkEnd w:id="49"/>
    </w:p>
    <w:p>
      <w:pPr>
        <w:pStyle w:val="2"/>
        <w:widowControl/>
      </w:pPr>
      <w:r>
        <w:t>购人无正当理由改变成交结果，或者成交供应商无正当理由放弃成交的，将承担相应 的法律责任。</w:t>
      </w:r>
    </w:p>
    <w:p>
      <w:pPr>
        <w:pStyle w:val="2"/>
        <w:widowControl/>
        <w:numPr>
          <w:ilvl w:val="0"/>
          <w:numId w:val="35"/>
        </w:numPr>
        <w:ind w:left="0" w:leftChars="0" w:firstLine="480" w:firstLineChars="0"/>
        <w:rPr>
          <w:b w:val="0"/>
        </w:rPr>
      </w:pPr>
      <w:bookmarkStart w:id="50" w:name="_Toc30160"/>
      <w:bookmarkStart w:id="51" w:name="_Toc9489"/>
      <w:r>
        <w:t>成交供应商的响应文件作为无效响应文件处理或者有采购法律法规规章制</w:t>
      </w:r>
      <w:bookmarkEnd w:id="50"/>
      <w:bookmarkEnd w:id="51"/>
    </w:p>
    <w:p>
      <w:pPr>
        <w:pStyle w:val="2"/>
        <w:widowControl/>
      </w:pPr>
      <w:r>
        <w:t>度规定的成交无效情形的，采购人或采购代理机构在取得有权主体的认定以后，有权 宣布发出的成交通知书无效，并收回发出的成交通知书，依法重新确定成交供应商或 者重新开展采购活动。</w:t>
      </w:r>
    </w:p>
    <w:p>
      <w:pPr>
        <w:pStyle w:val="4"/>
        <w:widowControl/>
        <w:numPr>
          <w:ilvl w:val="0"/>
          <w:numId w:val="8"/>
        </w:numPr>
        <w:topLinePunct w:val="0"/>
        <w:ind w:left="0" w:leftChars="0" w:firstLine="0" w:firstLineChars="0"/>
        <w:rPr>
          <w:b/>
        </w:rPr>
      </w:pPr>
      <w:bookmarkStart w:id="52" w:name="_Toc9150"/>
      <w:r>
        <w:t>合同事项</w:t>
      </w:r>
      <w:bookmarkEnd w:id="52"/>
    </w:p>
    <w:p>
      <w:pPr>
        <w:pStyle w:val="5"/>
        <w:widowControl/>
        <w:numPr>
          <w:ilvl w:val="0"/>
          <w:numId w:val="36"/>
        </w:numPr>
        <w:ind w:left="0" w:leftChars="0" w:firstLine="0" w:firstLineChars="0"/>
        <w:rPr>
          <w:b/>
        </w:rPr>
      </w:pPr>
      <w:r>
        <w:t>签订合同</w:t>
      </w:r>
    </w:p>
    <w:p>
      <w:pPr>
        <w:pStyle w:val="2"/>
        <w:widowControl/>
        <w:numPr>
          <w:ilvl w:val="0"/>
          <w:numId w:val="37"/>
        </w:numPr>
        <w:ind w:left="0" w:leftChars="0" w:firstLine="480" w:firstLineChars="0"/>
        <w:rPr>
          <w:b w:val="0"/>
        </w:rPr>
      </w:pPr>
      <w:r>
        <w:t>成交供应商应在成交通知书发出之日起三十日内与采购人签订采购合同。 由于成交供应商的原因逾期未与采购人签订采购合同的，将视为放弃成交，取消其成 交资格并将按相关规定进行处理。</w:t>
      </w:r>
    </w:p>
    <w:p>
      <w:pPr>
        <w:pStyle w:val="2"/>
        <w:widowControl/>
        <w:numPr>
          <w:ilvl w:val="0"/>
          <w:numId w:val="37"/>
        </w:numPr>
        <w:ind w:left="0" w:leftChars="0" w:firstLine="480" w:firstLineChars="0"/>
        <w:rPr>
          <w:b w:val="0"/>
        </w:rPr>
      </w:pPr>
      <w:r>
        <w:t>磋商文件、成交供应商的响应文件及双方确认的澄清文件等，均为有法律 约束力的合同组成部分。</w:t>
      </w:r>
    </w:p>
    <w:p>
      <w:pPr>
        <w:pStyle w:val="2"/>
        <w:widowControl/>
        <w:numPr>
          <w:ilvl w:val="0"/>
          <w:numId w:val="37"/>
        </w:numPr>
        <w:ind w:left="0" w:leftChars="0" w:firstLine="480" w:firstLineChars="0"/>
        <w:rPr>
          <w:b w:val="0"/>
        </w:rPr>
      </w:pPr>
      <w:r>
        <w:t>采购人不得向成交供应商提出任何不合理的要求，作为签订合同的条件， 不得与成交供应商私下订立背离合同实质性内容的任何协议，所签订的合同不得对磋 商文件和成交供应商响应文件确定的事项进行修改。</w:t>
      </w:r>
    </w:p>
    <w:p>
      <w:pPr>
        <w:pStyle w:val="2"/>
        <w:widowControl/>
        <w:numPr>
          <w:ilvl w:val="0"/>
          <w:numId w:val="37"/>
        </w:numPr>
        <w:ind w:left="0" w:leftChars="0" w:firstLine="480" w:firstLineChars="0"/>
        <w:rPr>
          <w:b w:val="0"/>
        </w:rPr>
      </w:pPr>
      <w:r>
        <w:t>成交供应商因不可抗力原因不能履行采购合同或放弃成交的，采购人可以 与排在成交供应商之后第一位的成交候选人签订采购合同，以此类推。</w:t>
      </w:r>
    </w:p>
    <w:p>
      <w:pPr>
        <w:pStyle w:val="2"/>
        <w:widowControl/>
        <w:numPr>
          <w:ilvl w:val="0"/>
          <w:numId w:val="37"/>
        </w:numPr>
        <w:ind w:left="0" w:leftChars="0" w:firstLine="480" w:firstLineChars="0"/>
        <w:rPr>
          <w:b w:val="0"/>
        </w:rPr>
      </w:pPr>
      <w:r>
        <w:t>竞争性磋商文件、成交供应商提交的响应文件、磋商中的最后报价、成交供 应商承诺书、成交通知书等均称为有法律约束力的合同组成内容。</w:t>
      </w:r>
    </w:p>
    <w:p>
      <w:pPr>
        <w:pStyle w:val="5"/>
        <w:widowControl/>
        <w:numPr>
          <w:ilvl w:val="0"/>
          <w:numId w:val="36"/>
        </w:numPr>
        <w:ind w:left="0" w:leftChars="0" w:firstLine="0" w:firstLineChars="0"/>
        <w:rPr>
          <w:b/>
        </w:rPr>
      </w:pPr>
      <w:r>
        <w:t>合同分包 (实质性要求)</w:t>
      </w:r>
    </w:p>
    <w:p>
      <w:pPr>
        <w:pStyle w:val="2"/>
        <w:widowControl/>
      </w:pPr>
      <w:r>
        <w:t>本项目不接受合同分包。</w:t>
      </w:r>
    </w:p>
    <w:p>
      <w:pPr>
        <w:pStyle w:val="5"/>
        <w:widowControl/>
        <w:numPr>
          <w:ilvl w:val="0"/>
          <w:numId w:val="36"/>
        </w:numPr>
        <w:ind w:left="0" w:leftChars="0" w:firstLine="0" w:firstLineChars="0"/>
        <w:rPr>
          <w:b/>
        </w:rPr>
      </w:pPr>
      <w:r>
        <w:t>合同转包 (实质性要求)</w:t>
      </w:r>
    </w:p>
    <w:p>
      <w:pPr>
        <w:pStyle w:val="2"/>
        <w:widowControl/>
      </w:pPr>
      <w:r>
        <w:t>本采购项目严禁成交供应商将任何采购合同义务转包。本项目所称转包，是指成 交供应商将采购合同义务转让给第三人，并退出现有采购合同当事人双方的权利义务 关系，受让人 (即第三人) 成为采购合同的另一方当事人的行为。</w:t>
      </w:r>
    </w:p>
    <w:p>
      <w:pPr>
        <w:pStyle w:val="2"/>
        <w:widowControl/>
        <w:rPr>
          <w:rFonts w:ascii="Arial"/>
          <w:sz w:val="21"/>
        </w:rPr>
      </w:pPr>
      <w:r>
        <w:t>成交供应商转包的，视同拒绝履行采购合同义务，将依法追究法律责任。</w:t>
      </w:r>
    </w:p>
    <w:p>
      <w:pPr>
        <w:pStyle w:val="5"/>
        <w:widowControl/>
        <w:numPr>
          <w:ilvl w:val="0"/>
          <w:numId w:val="36"/>
        </w:numPr>
        <w:ind w:left="0" w:leftChars="0" w:firstLine="0" w:firstLineChars="0"/>
        <w:rPr>
          <w:b/>
        </w:rPr>
      </w:pPr>
      <w:r>
        <w:t>补充合同</w:t>
      </w:r>
    </w:p>
    <w:p>
      <w:pPr>
        <w:pStyle w:val="2"/>
        <w:widowControl/>
      </w:pPr>
      <w:r>
        <w:t>采购合同履行过程中，采购人需要追加与合同标的相同的服务的，在不改变合同 其他条款的前提下，可以与成交供应商协商签订补充合同，但所有补充合同的采购金 额不得超过原合同采购金额的百分之十，该补充合同应当在原采购合同履行过程中， 不得在原采购合同履行结束后，且采购服务的名称、价格、履约方式、验收标准等必 须与原采购合同一致。</w:t>
      </w:r>
    </w:p>
    <w:p>
      <w:pPr>
        <w:pStyle w:val="5"/>
        <w:widowControl/>
        <w:numPr>
          <w:ilvl w:val="0"/>
          <w:numId w:val="36"/>
        </w:numPr>
        <w:ind w:left="0" w:leftChars="0" w:firstLine="0" w:firstLineChars="0"/>
        <w:rPr>
          <w:b/>
        </w:rPr>
      </w:pPr>
      <w:r>
        <w:t>履约保证金 (实质性要求)</w:t>
      </w:r>
    </w:p>
    <w:p>
      <w:pPr>
        <w:pStyle w:val="2"/>
        <w:widowControl/>
      </w:pPr>
      <w:r>
        <w:t>本项目不收取履约保证金。</w:t>
      </w:r>
    </w:p>
    <w:p>
      <w:pPr>
        <w:pStyle w:val="5"/>
        <w:widowControl/>
        <w:numPr>
          <w:ilvl w:val="0"/>
          <w:numId w:val="36"/>
        </w:numPr>
        <w:ind w:left="0" w:leftChars="0" w:firstLine="0" w:firstLineChars="0"/>
        <w:rPr>
          <w:b/>
        </w:rPr>
      </w:pPr>
      <w:r>
        <w:t>合同公告</w:t>
      </w:r>
    </w:p>
    <w:p>
      <w:pPr>
        <w:pStyle w:val="2"/>
        <w:widowControl/>
      </w:pPr>
      <w:r>
        <w:t>不涉及。</w:t>
      </w:r>
    </w:p>
    <w:p>
      <w:pPr>
        <w:pStyle w:val="5"/>
        <w:widowControl/>
        <w:numPr>
          <w:ilvl w:val="0"/>
          <w:numId w:val="36"/>
        </w:numPr>
        <w:ind w:left="0" w:leftChars="0" w:firstLine="0" w:firstLineChars="0"/>
        <w:rPr>
          <w:b/>
        </w:rPr>
      </w:pPr>
      <w:r>
        <w:t>合同备案</w:t>
      </w:r>
    </w:p>
    <w:p>
      <w:pPr>
        <w:pStyle w:val="2"/>
        <w:widowControl/>
      </w:pPr>
      <w:r>
        <w:t>按采购人要求。</w:t>
      </w:r>
    </w:p>
    <w:p>
      <w:pPr>
        <w:pStyle w:val="5"/>
        <w:widowControl/>
        <w:numPr>
          <w:ilvl w:val="0"/>
          <w:numId w:val="36"/>
        </w:numPr>
        <w:ind w:left="0" w:leftChars="0" w:firstLine="0" w:firstLineChars="0"/>
        <w:rPr>
          <w:b/>
        </w:rPr>
      </w:pPr>
      <w:r>
        <w:t>履行合同</w:t>
      </w:r>
    </w:p>
    <w:p>
      <w:pPr>
        <w:pStyle w:val="2"/>
        <w:widowControl/>
        <w:numPr>
          <w:ilvl w:val="0"/>
          <w:numId w:val="38"/>
        </w:numPr>
        <w:ind w:left="0" w:leftChars="0" w:firstLine="480" w:firstLineChars="0"/>
        <w:rPr>
          <w:b w:val="0"/>
        </w:rPr>
      </w:pPr>
      <w:r>
        <w:t>成交供应商与采购人签订合同后，合同双方应严格执行合同条款，履行合 同规定的义务，保证合同的顺利完成。</w:t>
      </w:r>
    </w:p>
    <w:p>
      <w:pPr>
        <w:pStyle w:val="2"/>
        <w:widowControl/>
        <w:numPr>
          <w:ilvl w:val="0"/>
          <w:numId w:val="38"/>
        </w:numPr>
        <w:ind w:left="0" w:leftChars="0" w:firstLine="480" w:firstLineChars="0"/>
        <w:rPr>
          <w:rFonts w:ascii="宋体" w:hAnsi="宋体" w:eastAsia="宋体" w:cs="宋体"/>
          <w:spacing w:val="9"/>
          <w:sz w:val="23"/>
          <w:szCs w:val="23"/>
        </w:rPr>
      </w:pPr>
      <w:r>
        <w:t>在合同履行过程中，如发生合同纠纷，合同双方应按照《中华人民共和国 民法典》的有关规定进行处理。</w:t>
      </w:r>
    </w:p>
    <w:p>
      <w:pPr>
        <w:pStyle w:val="5"/>
        <w:widowControl/>
        <w:numPr>
          <w:ilvl w:val="0"/>
          <w:numId w:val="36"/>
        </w:numPr>
        <w:ind w:left="0" w:leftChars="0" w:firstLine="0" w:firstLineChars="0"/>
        <w:rPr>
          <w:b/>
        </w:rPr>
      </w:pPr>
      <w:r>
        <w:t>资金支付</w:t>
      </w:r>
    </w:p>
    <w:p>
      <w:pPr>
        <w:pStyle w:val="2"/>
        <w:widowControl/>
      </w:pPr>
      <w:r>
        <w:t>采购人将按照采购合同规定，及时向成交供应商支付采购资金。</w:t>
      </w:r>
    </w:p>
    <w:p>
      <w:pPr>
        <w:pStyle w:val="4"/>
        <w:widowControl/>
        <w:numPr>
          <w:ilvl w:val="0"/>
          <w:numId w:val="8"/>
        </w:numPr>
        <w:topLinePunct w:val="0"/>
        <w:ind w:left="0" w:leftChars="0" w:firstLine="0" w:firstLineChars="0"/>
        <w:rPr>
          <w:rFonts w:ascii="Arial"/>
          <w:sz w:val="21"/>
        </w:rPr>
      </w:pPr>
      <w:bookmarkStart w:id="53" w:name="_Toc15005"/>
      <w:r>
        <w:t>磋商纪律要求</w:t>
      </w:r>
      <w:bookmarkEnd w:id="53"/>
    </w:p>
    <w:p>
      <w:pPr>
        <w:pStyle w:val="5"/>
        <w:widowControl/>
      </w:pPr>
      <w:r>
        <w:t>41.供应商不得具有的情形</w:t>
      </w:r>
    </w:p>
    <w:p>
      <w:pPr>
        <w:pStyle w:val="2"/>
        <w:widowControl/>
      </w:pPr>
      <w:r>
        <w:t>供应商参加本项目磋商不得有下列情形：</w:t>
      </w:r>
    </w:p>
    <w:p>
      <w:pPr>
        <w:pStyle w:val="2"/>
        <w:widowControl/>
        <w:numPr>
          <w:ilvl w:val="0"/>
          <w:numId w:val="39"/>
        </w:numPr>
        <w:ind w:left="0" w:leftChars="0" w:firstLine="480" w:firstLineChars="0"/>
        <w:rPr>
          <w:b w:val="0"/>
        </w:rPr>
      </w:pPr>
      <w:r>
        <w:t>提供虚假材料谋取成交；</w:t>
      </w:r>
    </w:p>
    <w:p>
      <w:pPr>
        <w:pStyle w:val="2"/>
        <w:widowControl/>
        <w:numPr>
          <w:ilvl w:val="0"/>
          <w:numId w:val="39"/>
        </w:numPr>
        <w:ind w:left="0" w:leftChars="0" w:firstLine="480" w:firstLineChars="0"/>
        <w:rPr>
          <w:b w:val="0"/>
        </w:rPr>
      </w:pPr>
      <w:r>
        <w:t>采取不正当手段诋毁、排挤其他供应商；</w:t>
      </w:r>
    </w:p>
    <w:p>
      <w:pPr>
        <w:pStyle w:val="2"/>
        <w:widowControl/>
        <w:numPr>
          <w:ilvl w:val="0"/>
          <w:numId w:val="39"/>
        </w:numPr>
        <w:ind w:left="0" w:leftChars="0" w:firstLine="480" w:firstLineChars="0"/>
        <w:rPr>
          <w:b w:val="0"/>
        </w:rPr>
      </w:pPr>
      <w:r>
        <w:t>与采购人或其他供应商恶意串通；</w:t>
      </w:r>
    </w:p>
    <w:p>
      <w:pPr>
        <w:pStyle w:val="2"/>
        <w:widowControl/>
        <w:numPr>
          <w:ilvl w:val="0"/>
          <w:numId w:val="39"/>
        </w:numPr>
        <w:ind w:left="0" w:leftChars="0" w:firstLine="480" w:firstLineChars="0"/>
        <w:rPr>
          <w:b w:val="0"/>
        </w:rPr>
      </w:pPr>
      <w:r>
        <w:t>向采购人磋商小组成员行贿或者提供其他不正当利益；</w:t>
      </w:r>
    </w:p>
    <w:p>
      <w:pPr>
        <w:pStyle w:val="2"/>
        <w:widowControl/>
        <w:numPr>
          <w:ilvl w:val="0"/>
          <w:numId w:val="39"/>
        </w:numPr>
        <w:ind w:left="0" w:leftChars="0" w:firstLine="480" w:firstLineChars="0"/>
        <w:rPr>
          <w:b w:val="0"/>
        </w:rPr>
      </w:pPr>
      <w:r>
        <w:t>在磋商过程中与采购人进行协商；</w:t>
      </w:r>
    </w:p>
    <w:p>
      <w:pPr>
        <w:pStyle w:val="2"/>
        <w:widowControl/>
        <w:numPr>
          <w:ilvl w:val="0"/>
          <w:numId w:val="39"/>
        </w:numPr>
        <w:ind w:left="0" w:leftChars="0" w:firstLine="480" w:firstLineChars="0"/>
        <w:rPr>
          <w:b w:val="0"/>
        </w:rPr>
      </w:pPr>
      <w:r>
        <w:t>成交后无正当理由拒不与采购人签订采购合同；</w:t>
      </w:r>
    </w:p>
    <w:p>
      <w:pPr>
        <w:pStyle w:val="2"/>
        <w:widowControl/>
        <w:numPr>
          <w:ilvl w:val="0"/>
          <w:numId w:val="39"/>
        </w:numPr>
        <w:ind w:left="0" w:leftChars="0" w:firstLine="480" w:firstLineChars="0"/>
        <w:rPr>
          <w:b w:val="0"/>
        </w:rPr>
      </w:pPr>
      <w:r>
        <w:t>未按照磋商文件确定的事项签订采购合同；</w:t>
      </w:r>
    </w:p>
    <w:p>
      <w:pPr>
        <w:pStyle w:val="2"/>
        <w:widowControl/>
        <w:numPr>
          <w:ilvl w:val="0"/>
          <w:numId w:val="39"/>
        </w:numPr>
        <w:ind w:left="0" w:leftChars="0" w:firstLine="480" w:firstLineChars="0"/>
        <w:rPr>
          <w:b w:val="0"/>
        </w:rPr>
      </w:pPr>
      <w:r>
        <w:t>将采购合同转包或者违规分包；</w:t>
      </w:r>
    </w:p>
    <w:p>
      <w:pPr>
        <w:pStyle w:val="2"/>
        <w:widowControl/>
        <w:numPr>
          <w:ilvl w:val="0"/>
          <w:numId w:val="39"/>
        </w:numPr>
        <w:ind w:left="0" w:leftChars="0" w:firstLine="480" w:firstLineChars="0"/>
        <w:rPr>
          <w:b w:val="0"/>
        </w:rPr>
      </w:pPr>
      <w:r>
        <w:t>擅自变更、中止或者终止采购合同；</w:t>
      </w:r>
    </w:p>
    <w:p>
      <w:pPr>
        <w:pStyle w:val="2"/>
        <w:widowControl/>
        <w:numPr>
          <w:ilvl w:val="0"/>
          <w:numId w:val="39"/>
        </w:numPr>
        <w:ind w:left="0" w:leftChars="0" w:firstLine="480" w:firstLineChars="0"/>
        <w:rPr>
          <w:b w:val="0"/>
        </w:rPr>
      </w:pPr>
      <w:r>
        <w:t>拒绝有关部门的监督检查或者向监督检查部门提供虚假情况；</w:t>
      </w:r>
    </w:p>
    <w:p>
      <w:pPr>
        <w:pStyle w:val="2"/>
        <w:widowControl/>
        <w:numPr>
          <w:ilvl w:val="0"/>
          <w:numId w:val="39"/>
        </w:numPr>
        <w:ind w:left="0" w:leftChars="0" w:firstLine="480" w:firstLineChars="0"/>
        <w:rPr>
          <w:b w:val="0"/>
        </w:rPr>
      </w:pPr>
      <w:r>
        <w:t>法律法规规定的其他情形。</w:t>
      </w:r>
    </w:p>
    <w:p>
      <w:pPr>
        <w:pStyle w:val="2"/>
        <w:widowControl/>
        <w:rPr>
          <w:rFonts w:ascii="Arial"/>
          <w:sz w:val="21"/>
        </w:rPr>
      </w:pPr>
      <w:r>
        <w:t>供应商有上述情形的，按照规定追究法律责任，具备 (1) - (11) 条情形之一的， 同时将取消被确认为成交供应商的资格或者认定成交无效。</w:t>
      </w:r>
    </w:p>
    <w:p>
      <w:pPr>
        <w:pStyle w:val="4"/>
        <w:widowControl/>
        <w:numPr>
          <w:ilvl w:val="0"/>
          <w:numId w:val="8"/>
        </w:numPr>
        <w:topLinePunct w:val="0"/>
        <w:ind w:left="0" w:leftChars="0" w:firstLine="0" w:firstLineChars="0"/>
        <w:rPr>
          <w:b/>
        </w:rPr>
      </w:pPr>
      <w:bookmarkStart w:id="54" w:name="_Toc10490"/>
      <w:r>
        <w:t>询问、质疑和投诉</w:t>
      </w:r>
      <w:bookmarkEnd w:id="54"/>
    </w:p>
    <w:p>
      <w:pPr>
        <w:pStyle w:val="2"/>
        <w:widowControl/>
        <w:rPr>
          <w:rFonts w:ascii="Arial"/>
          <w:sz w:val="21"/>
        </w:rPr>
      </w:pPr>
      <w:r>
        <w:t>42.询问、质疑、投诉的接收和处理参照《中华人民共和国政府采购法》、《中 华人民共和国政府采购法实施条例》、《政府采购质疑和投诉办法》的规定办理。本 项目要求供应商在法定质疑期内一次性提出针对同一采购程序环节的质疑。</w:t>
      </w:r>
    </w:p>
    <w:p>
      <w:pPr>
        <w:pStyle w:val="4"/>
        <w:widowControl/>
        <w:numPr>
          <w:ilvl w:val="0"/>
          <w:numId w:val="8"/>
        </w:numPr>
        <w:topLinePunct w:val="0"/>
        <w:ind w:left="0" w:leftChars="0" w:firstLine="0" w:firstLineChars="0"/>
        <w:rPr>
          <w:b/>
        </w:rPr>
      </w:pPr>
      <w:bookmarkStart w:id="55" w:name="_Toc16868"/>
      <w:r>
        <w:t>其  他</w:t>
      </w:r>
      <w:bookmarkEnd w:id="55"/>
    </w:p>
    <w:p>
      <w:pPr>
        <w:pStyle w:val="2"/>
        <w:widowControl/>
        <w:numPr>
          <w:ilvl w:val="0"/>
          <w:numId w:val="40"/>
        </w:numPr>
        <w:ind w:left="0" w:leftChars="0" w:firstLine="480" w:firstLineChars="0"/>
        <w:rPr>
          <w:b w:val="0"/>
        </w:rPr>
      </w:pPr>
      <w:r>
        <w:t>本磋商文件中所引相关法律制度规定，在政府采购中有变化的，按照变化后 的相关法律制度规定执行。本章规定的内容条款，在本项目递交响应文件截止时间届 满后，因相关法律制度规定的变化导致不符合相关法律制度规定的，直接按照变化后 的相关法律制度规定执行，本磋商文件不再做调整。</w:t>
      </w:r>
    </w:p>
    <w:p>
      <w:pPr>
        <w:pStyle w:val="2"/>
        <w:widowControl/>
        <w:numPr>
          <w:ilvl w:val="0"/>
          <w:numId w:val="40"/>
        </w:numPr>
        <w:ind w:left="0" w:leftChars="0" w:firstLine="480" w:firstLineChars="0"/>
        <w:rPr>
          <w:b w:val="0"/>
        </w:rPr>
      </w:pPr>
      <w:r>
        <w:t>(实质性要求) 国家或行业主管部门对采购产品的技术标准、质量标准和资</w:t>
      </w:r>
    </w:p>
    <w:p>
      <w:pPr>
        <w:pStyle w:val="2"/>
        <w:widowControl/>
      </w:pPr>
      <w:bookmarkStart w:id="56" w:name="_Toc10827"/>
      <w:bookmarkStart w:id="57" w:name="_Toc5206"/>
      <w:r>
        <w:t>格资质条件等有强制性规定的，必须符合其要求。</w:t>
      </w:r>
      <w:bookmarkEnd w:id="56"/>
      <w:bookmarkEnd w:id="57"/>
    </w:p>
    <w:p>
      <w:pPr>
        <w:spacing w:before="300" w:line="353" w:lineRule="auto"/>
        <w:ind w:left="10" w:right="32" w:rightChars="0" w:firstLine="501"/>
        <w:rPr>
          <w:rFonts w:hint="eastAsia" w:ascii="宋体" w:hAnsi="宋体" w:eastAsia="宋体" w:cs="宋体"/>
          <w:spacing w:val="8"/>
          <w:sz w:val="23"/>
          <w:szCs w:val="23"/>
          <w:lang w:eastAsia="zh-CN"/>
        </w:rPr>
        <w:sectPr>
          <w:headerReference r:id="rId11" w:type="default"/>
          <w:footerReference r:id="rId12" w:type="default"/>
          <w:pgSz w:w="11906" w:h="16839"/>
          <w:pgMar w:top="1417" w:right="1417" w:bottom="1417" w:left="1417" w:header="1084" w:footer="1071" w:gutter="0"/>
          <w:pgNumType w:fmt="decimal"/>
          <w:cols w:space="0" w:num="1"/>
          <w:rtlGutter w:val="0"/>
        </w:sectPr>
      </w:pPr>
    </w:p>
    <w:p>
      <w:pPr>
        <w:pStyle w:val="31"/>
        <w:widowControl/>
        <w:numPr>
          <w:ilvl w:val="0"/>
          <w:numId w:val="1"/>
        </w:numPr>
        <w:ind w:left="0" w:leftChars="0" w:firstLine="0" w:firstLineChars="0"/>
        <w:outlineLvl w:val="0"/>
        <w:rPr>
          <w:b w:val="0"/>
        </w:rPr>
      </w:pPr>
      <w:bookmarkStart w:id="58" w:name="_Toc10724"/>
      <w:r>
        <w:t>供应商资格条件要求</w:t>
      </w:r>
      <w:bookmarkEnd w:id="58"/>
    </w:p>
    <w:p>
      <w:pPr>
        <w:pStyle w:val="4"/>
        <w:widowControl/>
        <w:numPr>
          <w:ilvl w:val="0"/>
          <w:numId w:val="41"/>
        </w:numPr>
        <w:topLinePunct w:val="0"/>
        <w:ind w:left="0" w:leftChars="0" w:firstLine="0" w:firstLineChars="0"/>
        <w:rPr>
          <w:b/>
        </w:rPr>
      </w:pPr>
      <w:bookmarkStart w:id="59" w:name="_Toc21819"/>
      <w:r>
        <w:t>供应商资格、资质性及其他类似效力要求</w:t>
      </w:r>
      <w:bookmarkEnd w:id="59"/>
    </w:p>
    <w:p>
      <w:pPr>
        <w:pStyle w:val="2"/>
        <w:widowControl/>
      </w:pPr>
      <w:r>
        <w:t>符合基本条件。</w:t>
      </w:r>
    </w:p>
    <w:p>
      <w:pPr>
        <w:pStyle w:val="2"/>
        <w:widowControl/>
        <w:numPr>
          <w:ilvl w:val="0"/>
          <w:numId w:val="42"/>
        </w:numPr>
        <w:topLinePunct w:val="0"/>
        <w:ind w:left="0" w:leftChars="0" w:firstLine="480" w:firstLineChars="0"/>
        <w:rPr>
          <w:b w:val="0"/>
        </w:rPr>
      </w:pPr>
      <w:r>
        <w:t>在中华人民共和国境内注册并具有独立法人资格的合法企业；</w:t>
      </w:r>
    </w:p>
    <w:p>
      <w:pPr>
        <w:pStyle w:val="2"/>
        <w:widowControl/>
        <w:numPr>
          <w:ilvl w:val="0"/>
          <w:numId w:val="42"/>
        </w:numPr>
        <w:topLinePunct w:val="0"/>
        <w:ind w:left="0" w:leftChars="0" w:firstLine="480" w:firstLineChars="0"/>
        <w:rPr>
          <w:b w:val="0"/>
        </w:rPr>
      </w:pPr>
      <w:r>
        <w:t>具有良好的商业信誉和健全的财务会计制度；</w:t>
      </w:r>
    </w:p>
    <w:p>
      <w:pPr>
        <w:pStyle w:val="2"/>
        <w:widowControl/>
        <w:numPr>
          <w:ilvl w:val="0"/>
          <w:numId w:val="42"/>
        </w:numPr>
        <w:topLinePunct w:val="0"/>
        <w:ind w:left="0" w:leftChars="0" w:firstLine="480" w:firstLineChars="0"/>
        <w:rPr>
          <w:b w:val="0"/>
        </w:rPr>
      </w:pPr>
      <w:r>
        <w:t>具有履行合同所必须的科技服务能力；</w:t>
      </w:r>
    </w:p>
    <w:p>
      <w:pPr>
        <w:pStyle w:val="2"/>
        <w:widowControl/>
        <w:numPr>
          <w:ilvl w:val="0"/>
          <w:numId w:val="42"/>
        </w:numPr>
        <w:topLinePunct w:val="0"/>
        <w:ind w:left="0" w:leftChars="0" w:firstLine="480" w:firstLineChars="0"/>
        <w:rPr>
          <w:b w:val="0"/>
        </w:rPr>
      </w:pPr>
      <w:r>
        <w:t>具有依法缴纳税收的良好记录；</w:t>
      </w:r>
    </w:p>
    <w:p>
      <w:pPr>
        <w:pStyle w:val="2"/>
        <w:widowControl/>
        <w:numPr>
          <w:ilvl w:val="0"/>
          <w:numId w:val="42"/>
        </w:numPr>
        <w:topLinePunct w:val="0"/>
        <w:ind w:left="0" w:leftChars="0" w:firstLine="480" w:firstLineChars="0"/>
        <w:rPr>
          <w:b w:val="0"/>
        </w:rPr>
      </w:pPr>
      <w:r>
        <w:t>其他要求：从事天府科技云服务1年以上的企业优先。本项目不接受联合体参加。</w:t>
      </w:r>
    </w:p>
    <w:p>
      <w:pPr>
        <w:pStyle w:val="2"/>
        <w:widowControl/>
        <w:numPr>
          <w:ilvl w:val="0"/>
          <w:numId w:val="42"/>
        </w:numPr>
        <w:topLinePunct w:val="0"/>
        <w:ind w:left="0" w:leftChars="0" w:firstLine="480" w:firstLineChars="0"/>
        <w:rPr>
          <w:b w:val="0"/>
        </w:rPr>
      </w:pPr>
      <w:r>
        <w:t>法律、行政法规规定的其他条件。</w:t>
      </w:r>
    </w:p>
    <w:p>
      <w:pPr>
        <w:pStyle w:val="2"/>
        <w:widowControl/>
        <w:numPr>
          <w:ilvl w:val="0"/>
          <w:numId w:val="42"/>
        </w:numPr>
        <w:topLinePunct w:val="0"/>
        <w:ind w:left="0" w:leftChars="0" w:firstLine="480" w:firstLineChars="0"/>
        <w:rPr>
          <w:b w:val="0"/>
        </w:rPr>
      </w:pPr>
      <w:r>
        <w:t>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pPr>
        <w:pStyle w:val="4"/>
        <w:widowControl/>
        <w:numPr>
          <w:ilvl w:val="0"/>
          <w:numId w:val="41"/>
        </w:numPr>
        <w:topLinePunct w:val="0"/>
        <w:ind w:left="0" w:leftChars="0" w:firstLine="0" w:firstLineChars="0"/>
        <w:rPr>
          <w:rFonts w:ascii="Arial"/>
          <w:sz w:val="21"/>
        </w:rPr>
      </w:pPr>
      <w:bookmarkStart w:id="60" w:name="_Toc5923"/>
      <w:r>
        <w:t>其他类似效力要求：供应商法定代表人授权参加本次磋商活动的合法代表。</w:t>
      </w:r>
      <w:bookmarkEnd w:id="60"/>
    </w:p>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1"/>
        <w:widowControl/>
        <w:numPr>
          <w:ilvl w:val="0"/>
          <w:numId w:val="1"/>
        </w:numPr>
        <w:ind w:left="0" w:leftChars="0" w:firstLine="0" w:firstLineChars="0"/>
        <w:outlineLvl w:val="0"/>
        <w:rPr>
          <w:b w:val="0"/>
        </w:rPr>
      </w:pPr>
      <w:bookmarkStart w:id="61" w:name="_Toc11733"/>
      <w:r>
        <w:t>供应商资格证明材料</w:t>
      </w:r>
      <w:bookmarkEnd w:id="61"/>
    </w:p>
    <w:p>
      <w:pPr>
        <w:pStyle w:val="4"/>
        <w:widowControl/>
      </w:pPr>
      <w:bookmarkStart w:id="62" w:name="_Toc7151"/>
      <w:r>
        <w:t>一、供应商应当提供的资格、资质性文件及其他类似效力的要求的相关证明材料</w:t>
      </w:r>
      <w:bookmarkEnd w:id="62"/>
    </w:p>
    <w:p>
      <w:pPr>
        <w:pStyle w:val="5"/>
        <w:widowControl/>
      </w:pPr>
      <w:r>
        <w:t>资格要求相关证明材料：</w:t>
      </w:r>
    </w:p>
    <w:p>
      <w:pPr>
        <w:pStyle w:val="6"/>
        <w:widowControl/>
        <w:numPr>
          <w:ilvl w:val="0"/>
          <w:numId w:val="43"/>
        </w:numPr>
        <w:topLinePunct w:val="0"/>
        <w:ind w:left="0" w:leftChars="0" w:firstLine="0" w:firstLineChars="0"/>
        <w:rPr>
          <w:b/>
        </w:rPr>
      </w:pPr>
      <w:bookmarkStart w:id="63" w:name="_Toc9412"/>
      <w:r>
        <w:t>具有独立承担民事责任的能力提供以下证明材料：</w:t>
      </w:r>
      <w:bookmarkEnd w:id="63"/>
    </w:p>
    <w:p>
      <w:pPr>
        <w:pStyle w:val="7"/>
        <w:widowControl/>
        <w:numPr>
          <w:ilvl w:val="0"/>
          <w:numId w:val="44"/>
        </w:numPr>
        <w:ind w:left="0" w:leftChars="0" w:firstLine="0" w:firstLineChars="0"/>
        <w:rPr>
          <w:b/>
        </w:rPr>
      </w:pPr>
      <w:bookmarkStart w:id="64" w:name="_Toc5064"/>
      <w:bookmarkStart w:id="65" w:name="_Toc4873"/>
      <w:r>
        <w:t>独立法人机构提供下述证明材料：</w:t>
      </w:r>
      <w:bookmarkEnd w:id="64"/>
      <w:bookmarkEnd w:id="65"/>
    </w:p>
    <w:p>
      <w:pPr>
        <w:pStyle w:val="2"/>
        <w:widowControl/>
      </w:pPr>
      <w:bookmarkStart w:id="66" w:name="_Toc24930"/>
      <w:bookmarkStart w:id="67" w:name="_Toc30681"/>
      <w:r>
        <w:t>营业执照副本复印件 (注：①在有效期内；②具有独立法人资格；) 或工商部门</w:t>
      </w:r>
      <w:bookmarkEnd w:id="66"/>
      <w:bookmarkEnd w:id="67"/>
    </w:p>
    <w:p>
      <w:pPr>
        <w:pStyle w:val="2"/>
        <w:widowControl/>
      </w:pPr>
      <w:r>
        <w:t>新颁发的营业执照复印件 (有效期内) 。</w:t>
      </w:r>
    </w:p>
    <w:p>
      <w:pPr>
        <w:pStyle w:val="7"/>
        <w:widowControl/>
        <w:numPr>
          <w:ilvl w:val="0"/>
          <w:numId w:val="44"/>
        </w:numPr>
        <w:ind w:left="0" w:leftChars="0" w:firstLine="0" w:firstLineChars="0"/>
        <w:rPr>
          <w:b/>
        </w:rPr>
      </w:pPr>
      <w:r>
        <w:t>其他组织或自然人提供具有承担民事责任的能力的证明材料复印件。</w:t>
      </w:r>
    </w:p>
    <w:p>
      <w:pPr>
        <w:pStyle w:val="6"/>
        <w:widowControl/>
        <w:numPr>
          <w:ilvl w:val="0"/>
          <w:numId w:val="43"/>
        </w:numPr>
        <w:topLinePunct w:val="0"/>
        <w:ind w:left="0" w:leftChars="0" w:firstLine="0" w:firstLineChars="0"/>
        <w:rPr>
          <w:b/>
        </w:rPr>
      </w:pPr>
      <w:bookmarkStart w:id="68" w:name="_Toc17176"/>
      <w:r>
        <w:t>具有良好的商业信誉和健全的财务会计制度提供以下证明材料：</w:t>
      </w:r>
      <w:bookmarkEnd w:id="68"/>
    </w:p>
    <w:p>
      <w:pPr>
        <w:pStyle w:val="7"/>
        <w:widowControl/>
      </w:pPr>
      <w:r>
        <w:t>(1) 提供以下证明材料：</w:t>
      </w:r>
    </w:p>
    <w:p>
      <w:pPr>
        <w:pStyle w:val="2"/>
        <w:widowControl/>
        <w:numPr>
          <w:ilvl w:val="0"/>
          <w:numId w:val="45"/>
        </w:numPr>
        <w:ind w:left="0" w:leftChars="0" w:firstLine="480" w:firstLineChars="0"/>
        <w:rPr>
          <w:b w:val="0"/>
        </w:rPr>
      </w:pPr>
      <w:bookmarkStart w:id="69" w:name="_Toc16149"/>
      <w:bookmarkStart w:id="70" w:name="_Toc12056"/>
      <w:r>
        <w:t>可提供 202</w:t>
      </w:r>
      <w:r>
        <w:rPr>
          <w:rFonts w:hint="eastAsia"/>
          <w:lang w:val="en-US" w:eastAsia="zh-CN"/>
        </w:rPr>
        <w:t>3</w:t>
      </w:r>
      <w:r>
        <w:t xml:space="preserve"> 或 202</w:t>
      </w:r>
      <w:r>
        <w:rPr>
          <w:rFonts w:hint="eastAsia"/>
          <w:lang w:val="en-US" w:eastAsia="zh-CN"/>
        </w:rPr>
        <w:t>4</w:t>
      </w:r>
      <w:r>
        <w:t xml:space="preserve"> 年度经审计的财务报告复印件 (至少包含审计报告和审计</w:t>
      </w:r>
      <w:bookmarkEnd w:id="69"/>
      <w:bookmarkEnd w:id="70"/>
    </w:p>
    <w:p>
      <w:pPr>
        <w:pStyle w:val="2"/>
        <w:widowControl/>
      </w:pPr>
      <w:r>
        <w:t>报告中所涉及的财务报表和报表附注) ；</w:t>
      </w:r>
    </w:p>
    <w:p>
      <w:pPr>
        <w:pStyle w:val="2"/>
        <w:widowControl/>
        <w:numPr>
          <w:ilvl w:val="0"/>
          <w:numId w:val="45"/>
        </w:numPr>
        <w:ind w:left="0" w:leftChars="0" w:firstLine="480" w:firstLineChars="0"/>
        <w:rPr>
          <w:b w:val="0"/>
        </w:rPr>
      </w:pPr>
      <w:r>
        <w:t>也可提供 202</w:t>
      </w:r>
      <w:r>
        <w:rPr>
          <w:rFonts w:hint="eastAsia"/>
          <w:lang w:val="en-US" w:eastAsia="zh-CN"/>
        </w:rPr>
        <w:t>3</w:t>
      </w:r>
      <w:r>
        <w:t xml:space="preserve"> 或 202</w:t>
      </w:r>
      <w:r>
        <w:rPr>
          <w:rFonts w:hint="eastAsia"/>
          <w:lang w:val="en-US" w:eastAsia="zh-CN"/>
        </w:rPr>
        <w:t>4</w:t>
      </w:r>
      <w:r>
        <w:t>年度供应商内部的财务报表复印件 (至少包含资产负债</w:t>
      </w:r>
    </w:p>
    <w:p>
      <w:pPr>
        <w:pStyle w:val="2"/>
        <w:widowControl/>
      </w:pPr>
      <w:bookmarkStart w:id="71" w:name="_Toc9631"/>
      <w:bookmarkStart w:id="72" w:name="_Toc18055"/>
      <w:r>
        <w:t>表) ；也可提供具有健全的财务会计制度的承诺书原件或者具有良好的商业信誉可提供承诺书原件。</w:t>
      </w:r>
      <w:bookmarkEnd w:id="71"/>
      <w:bookmarkEnd w:id="72"/>
    </w:p>
    <w:p>
      <w:pPr>
        <w:pStyle w:val="2"/>
        <w:widowControl/>
        <w:numPr>
          <w:ilvl w:val="0"/>
          <w:numId w:val="45"/>
        </w:numPr>
        <w:ind w:left="0" w:leftChars="0" w:firstLine="480" w:firstLineChars="0"/>
        <w:rPr>
          <w:b w:val="0"/>
        </w:rPr>
      </w:pPr>
      <w:r>
        <w:t>供应商注册时间至文件递交截止日不足一年的，也可提供在工商备案的公司章</w:t>
      </w:r>
    </w:p>
    <w:p>
      <w:pPr>
        <w:pStyle w:val="2"/>
        <w:widowControl/>
      </w:pPr>
      <w:bookmarkStart w:id="73" w:name="_Toc16434"/>
      <w:bookmarkStart w:id="74" w:name="_Toc2213"/>
      <w:r>
        <w:t>程 (复印件) ；</w:t>
      </w:r>
      <w:bookmarkEnd w:id="73"/>
      <w:bookmarkEnd w:id="74"/>
    </w:p>
    <w:p>
      <w:pPr>
        <w:pStyle w:val="6"/>
        <w:widowControl/>
        <w:numPr>
          <w:ilvl w:val="0"/>
          <w:numId w:val="43"/>
        </w:numPr>
        <w:topLinePunct w:val="0"/>
        <w:ind w:left="0" w:leftChars="0" w:firstLine="0" w:firstLineChars="0"/>
        <w:rPr>
          <w:b/>
        </w:rPr>
      </w:pPr>
      <w:bookmarkStart w:id="75" w:name="_Toc26937"/>
      <w:r>
        <w:t>具有履行合同所必需的设备和专业技术能力的证明材料：</w:t>
      </w:r>
      <w:bookmarkEnd w:id="75"/>
    </w:p>
    <w:p>
      <w:pPr>
        <w:pStyle w:val="2"/>
        <w:widowControl/>
      </w:pPr>
      <w:bookmarkStart w:id="76" w:name="_Toc31438"/>
      <w:bookmarkStart w:id="77" w:name="_Toc21050"/>
      <w:r>
        <w:t>供应商自行提供相关证明材料复印件或提供承诺函原件。</w:t>
      </w:r>
      <w:bookmarkEnd w:id="76"/>
      <w:bookmarkEnd w:id="77"/>
    </w:p>
    <w:p>
      <w:pPr>
        <w:pStyle w:val="6"/>
        <w:widowControl/>
        <w:numPr>
          <w:ilvl w:val="0"/>
          <w:numId w:val="43"/>
        </w:numPr>
        <w:topLinePunct w:val="0"/>
        <w:ind w:left="0" w:leftChars="0" w:firstLine="0" w:firstLineChars="0"/>
        <w:rPr>
          <w:b/>
        </w:rPr>
      </w:pPr>
      <w:r>
        <w:t>从事天府科技云服务1年以上证明（或佐证）资料。</w:t>
      </w:r>
    </w:p>
    <w:p>
      <w:pPr>
        <w:spacing w:before="183" w:line="376" w:lineRule="auto"/>
        <w:ind w:left="9" w:right="494" w:firstLine="480"/>
        <w:rPr>
          <w:rFonts w:ascii="宋体" w:hAnsi="宋体" w:eastAsia="宋体" w:cs="宋体"/>
          <w:sz w:val="23"/>
          <w:szCs w:val="23"/>
        </w:rPr>
      </w:pPr>
    </w:p>
    <w:p>
      <w:pPr>
        <w:spacing w:line="291" w:lineRule="auto"/>
        <w:rPr>
          <w:rFonts w:ascii="Arial"/>
          <w:sz w:val="21"/>
        </w:rPr>
      </w:pPr>
    </w:p>
    <w:p>
      <w:bookmarkStart w:id="78" w:name="_Toc16367"/>
      <w:r>
        <w:br w:type="page"/>
      </w:r>
    </w:p>
    <w:p>
      <w:pPr>
        <w:pStyle w:val="31"/>
        <w:widowControl/>
        <w:numPr>
          <w:ilvl w:val="0"/>
          <w:numId w:val="1"/>
        </w:numPr>
        <w:ind w:left="0" w:leftChars="0" w:firstLine="0" w:firstLineChars="0"/>
        <w:outlineLvl w:val="0"/>
        <w:rPr>
          <w:b w:val="0"/>
        </w:rPr>
      </w:pPr>
      <w:r>
        <w:t>采购项目技术、服务、采购合同内容条款</w:t>
      </w:r>
      <w:bookmarkEnd w:id="78"/>
    </w:p>
    <w:p>
      <w:pPr>
        <w:spacing w:line="384" w:lineRule="auto"/>
        <w:rPr>
          <w:rFonts w:ascii="Arial"/>
          <w:sz w:val="21"/>
        </w:rPr>
      </w:pPr>
    </w:p>
    <w:p>
      <w:pPr>
        <w:pStyle w:val="31"/>
        <w:widowControl/>
        <w:outlineLvl w:val="0"/>
      </w:pPr>
      <w:bookmarkStart w:id="79" w:name="_Toc29703"/>
      <w:bookmarkStart w:id="80" w:name="_Toc25049"/>
      <w:r>
        <w:t>及其他商务要求</w:t>
      </w:r>
      <w:bookmarkEnd w:id="79"/>
      <w:bookmarkEnd w:id="80"/>
    </w:p>
    <w:p>
      <w:pPr>
        <w:spacing w:line="390" w:lineRule="auto"/>
        <w:rPr>
          <w:rFonts w:ascii="Arial"/>
          <w:sz w:val="21"/>
        </w:rPr>
      </w:pPr>
    </w:p>
    <w:p>
      <w:pPr>
        <w:pStyle w:val="4"/>
        <w:widowControl/>
        <w:numPr>
          <w:ilvl w:val="0"/>
          <w:numId w:val="46"/>
        </w:numPr>
        <w:topLinePunct w:val="0"/>
        <w:ind w:left="0" w:leftChars="0" w:firstLine="0" w:firstLineChars="0"/>
        <w:rPr>
          <w:b/>
        </w:rPr>
      </w:pPr>
      <w:bookmarkStart w:id="81" w:name="_Toc19311"/>
      <w:r>
        <w:t>项目概述</w:t>
      </w:r>
      <w:bookmarkEnd w:id="81"/>
    </w:p>
    <w:p>
      <w:pPr>
        <w:pStyle w:val="1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480" w:firstLineChars="200"/>
        <w:jc w:val="both"/>
        <w:textAlignment w:val="auto"/>
        <w:rPr>
          <w:rFonts w:hint="eastAsia" w:asciiTheme="minorEastAsia" w:hAnsiTheme="minorEastAsia" w:eastAsiaTheme="minorEastAsia" w:cstheme="minorEastAsia"/>
          <w:i w:val="0"/>
          <w:caps w:val="0"/>
          <w:color w:val="000000"/>
          <w:spacing w:val="0"/>
          <w:sz w:val="24"/>
          <w:szCs w:val="24"/>
          <w:shd w:val="clear" w:color="auto" w:fill="FFFFFF"/>
          <w:lang w:val="en-US" w:eastAsia="zh-CN"/>
        </w:rPr>
      </w:pPr>
      <w:bookmarkStart w:id="82" w:name="_Toc12129"/>
      <w:r>
        <w:rPr>
          <w:rFonts w:hint="eastAsia" w:asciiTheme="minorEastAsia" w:hAnsiTheme="minorEastAsia" w:eastAsiaTheme="minorEastAsia" w:cstheme="minorEastAsia"/>
          <w:i w:val="0"/>
          <w:caps w:val="0"/>
          <w:color w:val="000000"/>
          <w:spacing w:val="0"/>
          <w:sz w:val="24"/>
          <w:szCs w:val="24"/>
          <w:shd w:val="clear" w:color="auto" w:fill="FFFFFF"/>
          <w:lang w:val="en-US" w:eastAsia="zh-CN"/>
        </w:rPr>
        <w:t>引进一家科技服务类的具有独立法人资格的合法企业，负责广元市云服中心日常运营维护，天府科技云”宣传推广、注册使用，培育示范工作室和示范案例，引进专家人才开展高质量项目培训、路演等活动，力争广元市天府科技云服务年度考核进入全省市州科协先进行列。</w:t>
      </w:r>
    </w:p>
    <w:p>
      <w:pPr>
        <w:pStyle w:val="4"/>
        <w:widowControl/>
        <w:numPr>
          <w:ilvl w:val="0"/>
          <w:numId w:val="46"/>
        </w:numPr>
        <w:topLinePunct w:val="0"/>
        <w:ind w:left="0" w:leftChars="0" w:firstLine="0" w:firstLineChars="0"/>
        <w:rPr>
          <w:rFonts w:ascii="Arial"/>
          <w:sz w:val="21"/>
        </w:rPr>
      </w:pPr>
      <w:r>
        <w:t>服务内容及要求</w:t>
      </w:r>
      <w:bookmarkEnd w:id="82"/>
    </w:p>
    <w:p>
      <w:pPr>
        <w:pStyle w:val="5"/>
        <w:widowControl/>
        <w:numPr>
          <w:ilvl w:val="0"/>
          <w:numId w:val="47"/>
        </w:numPr>
        <w:ind w:left="0" w:leftChars="0" w:firstLine="0" w:firstLineChars="0"/>
        <w:rPr>
          <w:b/>
        </w:rPr>
      </w:pPr>
      <w:r>
        <w:t>服务内容</w:t>
      </w:r>
    </w:p>
    <w:p>
      <w:pPr>
        <w:pStyle w:val="6"/>
        <w:widowControl/>
        <w:numPr>
          <w:ilvl w:val="0"/>
          <w:numId w:val="48"/>
        </w:numPr>
        <w:ind w:left="0" w:leftChars="0" w:firstLine="0" w:firstLineChars="0"/>
        <w:rPr>
          <w:b/>
        </w:rPr>
      </w:pPr>
      <w:r>
        <w:t>中心运维管理服务</w:t>
      </w:r>
    </w:p>
    <w:p>
      <w:pPr>
        <w:pStyle w:val="2"/>
        <w:widowControl/>
      </w:pPr>
      <w:r>
        <w:t>负责天府科技云服务的宣传推广、培训及线上线下辅导。</w:t>
      </w:r>
    </w:p>
    <w:p>
      <w:pPr>
        <w:pStyle w:val="2"/>
        <w:widowControl/>
      </w:pPr>
      <w:r>
        <w:t>日常维护和运作各硬件、软件、平台，确保技术服务的提供。</w:t>
      </w:r>
    </w:p>
    <w:p>
      <w:pPr>
        <w:pStyle w:val="2"/>
        <w:widowControl/>
      </w:pPr>
      <w:r>
        <w:t>实施系统健康稳定运行的保障措施。</w:t>
      </w:r>
    </w:p>
    <w:p>
      <w:pPr>
        <w:pStyle w:val="6"/>
        <w:widowControl/>
        <w:numPr>
          <w:ilvl w:val="0"/>
          <w:numId w:val="48"/>
        </w:numPr>
        <w:ind w:left="0" w:leftChars="0" w:firstLine="0" w:firstLineChars="0"/>
        <w:rPr>
          <w:b/>
        </w:rPr>
      </w:pPr>
      <w:r>
        <w:t>示范引领建设</w:t>
      </w:r>
    </w:p>
    <w:p>
      <w:pPr>
        <w:pStyle w:val="2"/>
        <w:widowControl/>
      </w:pPr>
      <w:r>
        <w:t>引导广元市区内企事业单位使用天府科技云平台，营造科技供给侧发展的积极氛围。</w:t>
      </w:r>
    </w:p>
    <w:p>
      <w:pPr>
        <w:pStyle w:val="2"/>
        <w:widowControl/>
      </w:pPr>
      <w:r>
        <w:t>推动优质科技服务、成果、项目的发布，打造精品及典型科创工作室。</w:t>
      </w:r>
    </w:p>
    <w:p>
      <w:pPr>
        <w:pStyle w:val="2"/>
        <w:widowControl/>
        <w:rPr>
          <w:rFonts w:hint="eastAsia" w:eastAsia="宋体"/>
          <w:lang w:val="en-US" w:eastAsia="zh-CN"/>
        </w:rPr>
      </w:pPr>
      <w:r>
        <w:t>精准服务科技工作者和企事业单位，指导市内企事业单位创建示范引领案例。</w:t>
      </w:r>
    </w:p>
    <w:p>
      <w:pPr>
        <w:pStyle w:val="6"/>
        <w:widowControl/>
        <w:numPr>
          <w:ilvl w:val="0"/>
          <w:numId w:val="48"/>
        </w:numPr>
        <w:ind w:left="0" w:leftChars="0" w:firstLine="0" w:firstLineChars="0"/>
        <w:rPr>
          <w:b/>
        </w:rPr>
      </w:pPr>
      <w:r>
        <w:t>天府科技云平台日常运营</w:t>
      </w:r>
    </w:p>
    <w:p>
      <w:pPr>
        <w:pStyle w:val="2"/>
        <w:widowControl/>
      </w:pPr>
      <w:r>
        <w:t>高效完成2025年科技服务、成果、科研项目类交易的保姆式跟单服务。</w:t>
      </w:r>
    </w:p>
    <w:p>
      <w:pPr>
        <w:pStyle w:val="2"/>
        <w:widowControl/>
      </w:pPr>
      <w:r>
        <w:t>负责2025年第</w:t>
      </w:r>
      <w:r>
        <w:rPr>
          <w:rFonts w:hint="eastAsia"/>
          <w:lang w:eastAsia="zh-CN"/>
        </w:rPr>
        <w:t>五</w:t>
      </w:r>
      <w:r>
        <w:t>届科创会项目征集、遴选及上报工作。</w:t>
      </w:r>
    </w:p>
    <w:p>
      <w:pPr>
        <w:pStyle w:val="3"/>
        <w:ind w:firstLine="420" w:firstLineChars="200"/>
      </w:pPr>
      <w:r>
        <w:rPr>
          <w:rFonts w:hint="eastAsia"/>
          <w:lang w:val="en-US" w:eastAsia="zh-CN"/>
        </w:rPr>
        <w:t>配合全国科普日、全国科技工作者日、科创会相关工作的计划</w:t>
      </w:r>
    </w:p>
    <w:p>
      <w:pPr>
        <w:pStyle w:val="6"/>
        <w:widowControl/>
        <w:numPr>
          <w:ilvl w:val="0"/>
          <w:numId w:val="48"/>
        </w:numPr>
        <w:ind w:left="0" w:leftChars="0" w:firstLine="0" w:firstLineChars="0"/>
        <w:rPr>
          <w:b/>
        </w:rPr>
      </w:pPr>
      <w:r>
        <w:t>广元科创品牌活动培育</w:t>
      </w:r>
    </w:p>
    <w:p>
      <w:pPr>
        <w:pStyle w:val="2"/>
        <w:keepNext w:val="0"/>
        <w:keepLines w:val="0"/>
        <w:pageBreakBefore w:val="0"/>
        <w:widowControl/>
        <w:overflowPunct/>
        <w:topLinePunct w:val="0"/>
        <w:bidi w:val="0"/>
        <w:snapToGrid w:val="0"/>
        <w:spacing w:line="576" w:lineRule="exact"/>
        <w:rPr>
          <w:rFonts w:hint="eastAsia" w:asciiTheme="minorEastAsia" w:hAnsiTheme="minorEastAsia" w:eastAsiaTheme="minorEastAsia" w:cstheme="minorEastAsia"/>
          <w:sz w:val="24"/>
          <w:szCs w:val="24"/>
        </w:rPr>
      </w:pPr>
      <w:r>
        <w:t>协助广元科协开展科创项目供需对接、项目路演、学术交流、技术论坛等常态化</w:t>
      </w:r>
      <w:r>
        <w:rPr>
          <w:rFonts w:hint="eastAsia" w:asciiTheme="minorEastAsia" w:hAnsiTheme="minorEastAsia" w:eastAsiaTheme="minorEastAsia" w:cstheme="minorEastAsia"/>
          <w:sz w:val="24"/>
          <w:szCs w:val="24"/>
        </w:rPr>
        <w:t>活动。</w:t>
      </w:r>
    </w:p>
    <w:p>
      <w:pPr>
        <w:pStyle w:val="2"/>
        <w:keepNext w:val="0"/>
        <w:keepLines w:val="0"/>
        <w:pageBreakBefore w:val="0"/>
        <w:widowControl/>
        <w:overflowPunct/>
        <w:topLinePunct w:val="0"/>
        <w:bidi w:val="0"/>
        <w:snapToGrid w:val="0"/>
        <w:spacing w:line="57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致力于科创品牌活动的创建，推动典型案例的对接与落地。</w:t>
      </w:r>
    </w:p>
    <w:p>
      <w:pPr>
        <w:pStyle w:val="18"/>
        <w:keepNext w:val="0"/>
        <w:keepLines w:val="0"/>
        <w:pageBreakBefore w:val="0"/>
        <w:widowControl/>
        <w:shd w:val="clear" w:color="auto" w:fill="FFFFFF"/>
        <w:kinsoku/>
        <w:wordWrap w:val="0"/>
        <w:overflowPunct/>
        <w:topLinePunct w:val="0"/>
        <w:autoSpaceDE/>
        <w:autoSpaceDN/>
        <w:bidi w:val="0"/>
        <w:adjustRightInd/>
        <w:snapToGrid w:val="0"/>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制定引进专家人才的策略，开展高质量项目培训和路演等活动，涉及确定人才需求、制定吸引人才的政策、组织培训课程和路演活动以及建立长期合作机制等。</w:t>
      </w:r>
    </w:p>
    <w:p>
      <w:pPr>
        <w:pStyle w:val="3"/>
        <w:keepNext w:val="0"/>
        <w:keepLines w:val="0"/>
        <w:pageBreakBefore w:val="0"/>
        <w:widowControl/>
        <w:numPr>
          <w:ilvl w:val="0"/>
          <w:numId w:val="48"/>
        </w:numPr>
        <w:overflowPunct/>
        <w:topLinePunct w:val="0"/>
        <w:bidi w:val="0"/>
        <w:snapToGrid w:val="0"/>
        <w:spacing w:line="576" w:lineRule="exact"/>
        <w:ind w:left="0" w:leftChars="0" w:firstLine="0" w:firstLineChars="0"/>
        <w:rPr>
          <w:rFonts w:hint="eastAsia" w:asciiTheme="minorEastAsia" w:hAnsiTheme="minorEastAsia" w:eastAsiaTheme="minorEastAsia" w:cstheme="minorEastAsia"/>
          <w:b/>
          <w:bCs/>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b/>
          <w:bCs/>
          <w:i w:val="0"/>
          <w:caps w:val="0"/>
          <w:color w:val="000000"/>
          <w:spacing w:val="0"/>
          <w:kern w:val="0"/>
          <w:sz w:val="24"/>
          <w:szCs w:val="24"/>
          <w:shd w:val="clear" w:color="auto" w:fill="FFFFFF"/>
          <w:lang w:val="en-US" w:eastAsia="zh-CN" w:bidi="ar"/>
        </w:rPr>
        <w:t>“精准服务全民科学素质提升，推动天府科技云科普工作高质量发展”</w:t>
      </w:r>
    </w:p>
    <w:p>
      <w:pPr>
        <w:pStyle w:val="3"/>
        <w:keepNext w:val="0"/>
        <w:keepLines w:val="0"/>
        <w:pageBreakBefore w:val="0"/>
        <w:widowControl/>
        <w:numPr>
          <w:ilvl w:val="0"/>
          <w:numId w:val="0"/>
        </w:numPr>
        <w:overflowPunct/>
        <w:topLinePunct w:val="0"/>
        <w:bidi w:val="0"/>
        <w:snapToGrid w:val="0"/>
        <w:spacing w:line="576" w:lineRule="exact"/>
        <w:ind w:leftChars="0" w:firstLine="480" w:firstLineChars="200"/>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丰富平台内容，向平台推送优质科普内容（遴选推送优秀原创科普作品）和科普活动；发挥平台作用，加强天府科技云平台科普资源推送传播 ；增强科普实效，培养群众城乡群众“上天府科技云，向科学要答案”习惯。</w:t>
      </w:r>
    </w:p>
    <w:p>
      <w:pPr>
        <w:pStyle w:val="3"/>
        <w:keepNext w:val="0"/>
        <w:keepLines w:val="0"/>
        <w:pageBreakBefore w:val="0"/>
        <w:widowControl/>
        <w:numPr>
          <w:ilvl w:val="0"/>
          <w:numId w:val="48"/>
        </w:numPr>
        <w:kinsoku w:val="0"/>
        <w:wordWrap/>
        <w:overflowPunct/>
        <w:topLinePunct w:val="0"/>
        <w:autoSpaceDE w:val="0"/>
        <w:autoSpaceDN w:val="0"/>
        <w:bidi w:val="0"/>
        <w:adjustRightInd w:val="0"/>
        <w:snapToGrid w:val="0"/>
        <w:spacing w:line="576" w:lineRule="exact"/>
        <w:ind w:left="0" w:leftChars="0" w:firstLine="0" w:firstLineChars="0"/>
        <w:textAlignment w:val="baseline"/>
        <w:rPr>
          <w:rFonts w:hint="eastAsia" w:asciiTheme="minorEastAsia" w:hAnsiTheme="minorEastAsia" w:eastAsiaTheme="minorEastAsia" w:cstheme="minorEastAsia"/>
          <w:b/>
          <w:bCs/>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b/>
          <w:bCs/>
          <w:i w:val="0"/>
          <w:caps w:val="0"/>
          <w:color w:val="000000"/>
          <w:spacing w:val="0"/>
          <w:kern w:val="0"/>
          <w:sz w:val="24"/>
          <w:szCs w:val="24"/>
          <w:shd w:val="clear" w:color="auto" w:fill="FFFFFF"/>
          <w:lang w:val="en-US" w:eastAsia="zh-CN" w:bidi="ar"/>
        </w:rPr>
        <w:t>打造高质量典型案例</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leftChars="0" w:firstLine="480" w:firstLineChars="200"/>
        <w:textAlignment w:val="baseline"/>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sectPr>
          <w:headerReference r:id="rId13" w:type="default"/>
          <w:footerReference r:id="rId14" w:type="default"/>
          <w:pgSz w:w="11906" w:h="16839"/>
          <w:pgMar w:top="1417" w:right="1417" w:bottom="1417" w:left="1417" w:header="1084" w:footer="1071" w:gutter="0"/>
          <w:pgNumType w:fmt="decimal"/>
          <w:cols w:space="0" w:num="1"/>
          <w:rtlGutter w:val="0"/>
        </w:sect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需要明确案例的标准、收集和筛选案例、进行案例的编写和编辑以及推广和应用。</w:t>
      </w:r>
    </w:p>
    <w:p>
      <w:pPr>
        <w:pStyle w:val="5"/>
        <w:widowControl/>
        <w:numPr>
          <w:ilvl w:val="0"/>
          <w:numId w:val="47"/>
        </w:numPr>
        <w:ind w:left="0" w:leftChars="0" w:firstLine="0" w:firstLineChars="0"/>
        <w:rPr>
          <w:b/>
        </w:rPr>
      </w:pPr>
      <w:r>
        <w:t>服务要求</w:t>
      </w:r>
    </w:p>
    <w:p>
      <w:pPr>
        <w:pStyle w:val="2"/>
        <w:widowControl/>
        <w:numPr>
          <w:ilvl w:val="0"/>
          <w:numId w:val="49"/>
        </w:numPr>
        <w:topLinePunct w:val="0"/>
        <w:ind w:left="0" w:leftChars="0" w:firstLine="480" w:firstLineChars="0"/>
        <w:rPr>
          <w:b w:val="0"/>
        </w:rPr>
      </w:pPr>
      <w:r>
        <w:rPr>
          <w:color w:val="auto"/>
        </w:rPr>
        <w:t>派驻</w:t>
      </w:r>
      <w:r>
        <w:rPr>
          <w:rFonts w:hint="eastAsia"/>
          <w:color w:val="auto"/>
          <w:lang w:val="en-US" w:eastAsia="zh-CN"/>
        </w:rPr>
        <w:t>4</w:t>
      </w:r>
      <w:r>
        <w:rPr>
          <w:color w:val="auto"/>
        </w:rPr>
        <w:t>名工作人员协助做</w:t>
      </w:r>
      <w:r>
        <w:t>好天府科技云宣传、推广、解答、指导个人注册、指导企业注册等各项工作。</w:t>
      </w:r>
    </w:p>
    <w:p>
      <w:pPr>
        <w:pStyle w:val="2"/>
        <w:widowControl/>
        <w:numPr>
          <w:ilvl w:val="0"/>
          <w:numId w:val="49"/>
        </w:numPr>
        <w:topLinePunct w:val="0"/>
        <w:ind w:left="0" w:leftChars="0" w:firstLine="480" w:firstLineChars="0"/>
        <w:rPr>
          <w:b w:val="0"/>
        </w:rPr>
      </w:pPr>
      <w:r>
        <w:t>协助各区县、各协同单位依托“天府科技云”平台开展供需对接、全民科普等服务，实现科普智能精准直达人民群众，让“上天府科技云、向科学要答案”深入人心、家喻户晓。</w:t>
      </w:r>
    </w:p>
    <w:p>
      <w:pPr>
        <w:pStyle w:val="2"/>
        <w:widowControl/>
        <w:numPr>
          <w:ilvl w:val="0"/>
          <w:numId w:val="49"/>
        </w:numPr>
        <w:topLinePunct w:val="0"/>
        <w:ind w:left="0" w:leftChars="0" w:firstLine="480" w:firstLineChars="0"/>
        <w:rPr>
          <w:b w:val="0"/>
        </w:rPr>
      </w:pPr>
      <w:r>
        <w:t>引导市内企事业单位应用天府科技云平台，切实推动企事业科技服务供给质量的提升， 通过“一人一策” 、“一单一策”做好企事业单位科技服务、智能匹配、精准对接，帮助企事业单位、科技工作者创造财富、实现价值。严禁出现虚假订单。</w:t>
      </w:r>
    </w:p>
    <w:p>
      <w:pPr>
        <w:pStyle w:val="2"/>
        <w:widowControl/>
        <w:numPr>
          <w:ilvl w:val="0"/>
          <w:numId w:val="49"/>
        </w:numPr>
        <w:topLinePunct w:val="0"/>
        <w:ind w:left="0" w:leftChars="0" w:firstLine="480" w:firstLineChars="0"/>
        <w:rPr>
          <w:b w:val="0"/>
        </w:rPr>
      </w:pPr>
      <w:r>
        <w:t>通过走访科技领军人才、天府杰出科学家、青年科技奖获得者、学术与技术 带头人等，做好科技所能发布、科技所需发布，形成示范带头效应。</w:t>
      </w:r>
    </w:p>
    <w:p>
      <w:pPr>
        <w:pStyle w:val="2"/>
        <w:widowControl/>
        <w:numPr>
          <w:ilvl w:val="0"/>
          <w:numId w:val="49"/>
        </w:numPr>
        <w:topLinePunct w:val="0"/>
        <w:ind w:left="0" w:leftChars="0" w:firstLine="480" w:firstLineChars="0"/>
        <w:rPr>
          <w:b w:val="0"/>
        </w:rPr>
      </w:pPr>
      <w:r>
        <w:t>促成科创会发布项目落地，后期保姆式服务跟踪记录。</w:t>
      </w:r>
    </w:p>
    <w:p>
      <w:pPr>
        <w:pStyle w:val="2"/>
        <w:widowControl/>
        <w:numPr>
          <w:ilvl w:val="0"/>
          <w:numId w:val="49"/>
        </w:numPr>
        <w:topLinePunct w:val="0"/>
        <w:ind w:left="0" w:leftChars="0" w:firstLine="480" w:firstLineChars="0"/>
        <w:rPr>
          <w:b w:val="0"/>
        </w:rPr>
      </w:pPr>
      <w:r>
        <w:t>协助广元市内企事业单位完成订单交易。协助广元市科研相关单位以及人员对自身的科研成果进行整理，再根据科研成果发布所能、所需把科研成果转换为订单。</w:t>
      </w:r>
    </w:p>
    <w:p>
      <w:pPr>
        <w:pStyle w:val="2"/>
        <w:widowControl/>
        <w:numPr>
          <w:ilvl w:val="0"/>
          <w:numId w:val="49"/>
        </w:numPr>
        <w:topLinePunct w:val="0"/>
        <w:ind w:left="0" w:leftChars="0" w:firstLine="480" w:firstLineChars="0"/>
        <w:rPr>
          <w:b w:val="0"/>
        </w:rPr>
      </w:pPr>
      <w:r>
        <w:t>协助广元市内企事业单位在天府科技云平台寻找具有示范引领，营造供给侧发展的良好氛围，推动发布更多更优质的科技所能，促进平台供给充分、优质，打造精品工作室、典型性科创工作室。</w:t>
      </w:r>
    </w:p>
    <w:p>
      <w:pPr>
        <w:pStyle w:val="2"/>
        <w:widowControl/>
        <w:numPr>
          <w:ilvl w:val="0"/>
          <w:numId w:val="49"/>
        </w:numPr>
        <w:topLinePunct w:val="0"/>
        <w:ind w:left="0" w:leftChars="0" w:firstLine="480" w:firstLineChars="0"/>
        <w:rPr>
          <w:b w:val="0"/>
        </w:rPr>
      </w:pPr>
      <w:r>
        <w:t>精准为科技工作者服务、精准为企事业单位创新驱动发展服务，进一步激发广大科技工作者 (团队) 和企事业单位依托天府科技云开展“科技服务、科技成果、 科研项目”交易的积极性，在广元市内全年指导区内企事业单位打造示范引领案例。</w:t>
      </w:r>
    </w:p>
    <w:p>
      <w:pPr>
        <w:pStyle w:val="2"/>
        <w:widowControl/>
        <w:numPr>
          <w:ilvl w:val="0"/>
          <w:numId w:val="49"/>
        </w:numPr>
        <w:topLinePunct w:val="0"/>
        <w:ind w:left="0" w:leftChars="0" w:firstLine="480" w:firstLineChars="0"/>
        <w:rPr>
          <w:b w:val="0"/>
        </w:rPr>
      </w:pPr>
      <w:r>
        <w:t>助广元科协开展科创项目供需对接、项目路演、学术交流、技术论坛等常态化活动。致力于科创品牌活动的创建，推动典型案例的对接与落地。</w:t>
      </w:r>
    </w:p>
    <w:p>
      <w:pPr>
        <w:pStyle w:val="2"/>
        <w:widowControl/>
        <w:numPr>
          <w:ilvl w:val="0"/>
          <w:numId w:val="49"/>
        </w:numPr>
        <w:topLinePunct w:val="0"/>
        <w:ind w:left="0" w:leftChars="0" w:firstLine="480" w:firstLineChars="0"/>
        <w:rPr>
          <w:b w:val="0"/>
        </w:rPr>
      </w:pPr>
      <w:r>
        <w:t>完成 2025年第五届科创会项目征集遴选上报相关工作。</w:t>
      </w:r>
    </w:p>
    <w:p>
      <w:bookmarkStart w:id="83" w:name="_Toc13660"/>
      <w:r>
        <w:br w:type="page"/>
      </w:r>
    </w:p>
    <w:p>
      <w:pPr>
        <w:pStyle w:val="4"/>
        <w:widowControl/>
        <w:numPr>
          <w:ilvl w:val="0"/>
          <w:numId w:val="46"/>
        </w:numPr>
        <w:topLinePunct w:val="0"/>
        <w:ind w:left="0" w:leftChars="0" w:firstLine="0" w:firstLineChars="0"/>
        <w:rPr>
          <w:b/>
        </w:rPr>
      </w:pPr>
      <w:r>
        <w:t>商务要求</w:t>
      </w:r>
      <w:bookmarkEnd w:id="83"/>
    </w:p>
    <w:p>
      <w:pPr>
        <w:spacing w:line="345" w:lineRule="auto"/>
        <w:rPr>
          <w:rFonts w:ascii="Arial"/>
          <w:sz w:val="21"/>
        </w:rPr>
      </w:pPr>
    </w:p>
    <w:p>
      <w:pPr>
        <w:pStyle w:val="2"/>
        <w:widowControl/>
        <w:numPr>
          <w:ilvl w:val="0"/>
          <w:numId w:val="50"/>
        </w:numPr>
        <w:ind w:left="0" w:leftChars="0" w:firstLine="480" w:firstLineChars="0"/>
        <w:rPr>
          <w:b w:val="0"/>
        </w:rPr>
      </w:pPr>
      <w:r>
        <w:t>服务期限：2025年 1 月 1 日起至 2025年 12 月 31 日。</w:t>
      </w:r>
    </w:p>
    <w:p>
      <w:pPr>
        <w:pStyle w:val="2"/>
        <w:widowControl/>
        <w:numPr>
          <w:ilvl w:val="0"/>
          <w:numId w:val="50"/>
        </w:numPr>
        <w:ind w:left="0" w:leftChars="0" w:firstLine="480" w:firstLineChars="0"/>
        <w:rPr>
          <w:b w:val="0"/>
        </w:rPr>
      </w:pPr>
      <w:r>
        <w:t>服务地点：采购人指定地点。</w:t>
      </w:r>
    </w:p>
    <w:p>
      <w:pPr>
        <w:pStyle w:val="2"/>
        <w:widowControl/>
        <w:numPr>
          <w:ilvl w:val="0"/>
          <w:numId w:val="50"/>
        </w:numPr>
        <w:ind w:left="0" w:leftChars="0" w:firstLine="480" w:firstLineChars="0"/>
        <w:rPr>
          <w:b w:val="0"/>
        </w:rPr>
      </w:pPr>
      <w:r>
        <w:t>付款方式及要求：</w:t>
      </w:r>
    </w:p>
    <w:p>
      <w:pPr>
        <w:pStyle w:val="2"/>
        <w:widowControl/>
        <w:numPr>
          <w:ilvl w:val="0"/>
          <w:numId w:val="51"/>
        </w:numPr>
        <w:ind w:left="0" w:leftChars="0" w:firstLine="480" w:firstLineChars="0"/>
        <w:rPr>
          <w:b w:val="0"/>
          <w:color w:val="auto"/>
        </w:rPr>
      </w:pPr>
      <w:r>
        <w:rPr>
          <w:rFonts w:hint="eastAsia"/>
          <w:color w:val="auto"/>
          <w:lang w:eastAsia="zh-CN"/>
        </w:rPr>
        <w:t>合同签订后</w:t>
      </w:r>
      <w:r>
        <w:rPr>
          <w:rFonts w:hint="eastAsia"/>
          <w:color w:val="auto"/>
          <w:lang w:val="en-US" w:eastAsia="zh-CN"/>
        </w:rPr>
        <w:t>3个月内</w:t>
      </w:r>
      <w:bookmarkStart w:id="112" w:name="_GoBack"/>
      <w:bookmarkEnd w:id="112"/>
      <w:r>
        <w:rPr>
          <w:rFonts w:hint="eastAsia"/>
          <w:color w:val="auto"/>
          <w:lang w:eastAsia="zh-CN"/>
        </w:rPr>
        <w:t>，</w:t>
      </w:r>
      <w:r>
        <w:rPr>
          <w:color w:val="auto"/>
        </w:rPr>
        <w:t>采购人</w:t>
      </w:r>
      <w:r>
        <w:rPr>
          <w:rFonts w:hint="eastAsia"/>
          <w:color w:val="auto"/>
          <w:lang w:eastAsia="zh-CN"/>
        </w:rPr>
        <w:t>预付</w:t>
      </w:r>
      <w:r>
        <w:rPr>
          <w:rFonts w:hint="eastAsia"/>
          <w:color w:val="auto"/>
          <w:lang w:val="en-US" w:eastAsia="zh-CN"/>
        </w:rPr>
        <w:t>30%合同款，</w:t>
      </w:r>
      <w:r>
        <w:rPr>
          <w:color w:val="auto"/>
        </w:rPr>
        <w:t>供应商按照采购人要求进行</w:t>
      </w:r>
      <w:r>
        <w:rPr>
          <w:rFonts w:hint="eastAsia"/>
          <w:color w:val="auto"/>
          <w:lang w:eastAsia="zh-CN"/>
        </w:rPr>
        <w:t>阶段性验收并拨付进度款，</w:t>
      </w:r>
      <w:r>
        <w:rPr>
          <w:color w:val="auto"/>
        </w:rPr>
        <w:t>天府科技云平台年底数据统计后，供应商按照采购人要求进行验收，经采购人验收考核后支付合同金额的 100%。</w:t>
      </w:r>
    </w:p>
    <w:p>
      <w:pPr>
        <w:pStyle w:val="2"/>
        <w:widowControl/>
        <w:numPr>
          <w:ilvl w:val="0"/>
          <w:numId w:val="51"/>
        </w:numPr>
        <w:ind w:left="0" w:leftChars="0" w:firstLine="480" w:firstLineChars="0"/>
        <w:rPr>
          <w:b w:val="0"/>
        </w:rPr>
      </w:pPr>
      <w:r>
        <w:t>采购人每次付款前，供应商应当先向采购人开具符合采购人要求的等额、合规发票，否则采购人有权拒绝付款并不承担任何违约责任或补偿、赔偿责任，直至供 应商提供为止。</w:t>
      </w:r>
    </w:p>
    <w:p>
      <w:pPr>
        <w:pStyle w:val="2"/>
        <w:widowControl/>
        <w:numPr>
          <w:ilvl w:val="0"/>
          <w:numId w:val="50"/>
        </w:numPr>
        <w:ind w:left="0" w:leftChars="0" w:firstLine="480" w:firstLineChars="0"/>
        <w:rPr>
          <w:b w:val="0"/>
        </w:rPr>
      </w:pPr>
      <w:r>
        <w:t>验收方式和标准：严格按照磋商文件、采购合同及供应商响应文件承诺内容 进行验收。</w:t>
      </w:r>
    </w:p>
    <w:p/>
    <w:p>
      <w:pPr>
        <w:spacing w:line="291" w:lineRule="auto"/>
        <w:rPr>
          <w:rFonts w:ascii="Arial"/>
          <w:sz w:val="21"/>
        </w:rPr>
      </w:pPr>
    </w:p>
    <w:p>
      <w:pPr>
        <w:pStyle w:val="2"/>
      </w:pPr>
    </w:p>
    <w:p>
      <w:r>
        <w:br w:type="page"/>
      </w:r>
    </w:p>
    <w:p>
      <w:pPr>
        <w:pStyle w:val="31"/>
        <w:widowControl/>
        <w:numPr>
          <w:ilvl w:val="0"/>
          <w:numId w:val="1"/>
        </w:numPr>
        <w:ind w:left="0" w:leftChars="0" w:firstLine="0" w:firstLineChars="0"/>
        <w:outlineLvl w:val="0"/>
        <w:rPr>
          <w:b w:val="0"/>
          <w:highlight w:val="none"/>
        </w:rPr>
      </w:pPr>
      <w:r>
        <w:rPr>
          <w:highlight w:val="none"/>
        </w:rPr>
        <w:t>响应文件格式</w:t>
      </w:r>
    </w:p>
    <w:p>
      <w:pPr>
        <w:shd w:val="clear" w:color="auto" w:fill="auto"/>
        <w:spacing w:line="400" w:lineRule="exact"/>
        <w:ind w:firstLine="480" w:firstLineChars="200"/>
        <w:rPr>
          <w:rFonts w:hint="eastAsia" w:ascii="宋体"/>
          <w:color w:val="auto"/>
          <w:sz w:val="24"/>
          <w:highlight w:val="none"/>
        </w:rPr>
      </w:pPr>
      <w:r>
        <w:rPr>
          <w:rFonts w:hint="eastAsia"/>
          <w:color w:val="auto"/>
          <w:sz w:val="24"/>
          <w:highlight w:val="none"/>
        </w:rPr>
        <w:t xml:space="preserve">  </w:t>
      </w:r>
      <w:r>
        <w:rPr>
          <w:rFonts w:hint="eastAsia" w:ascii="宋体"/>
          <w:color w:val="auto"/>
          <w:sz w:val="24"/>
          <w:highlight w:val="none"/>
        </w:rPr>
        <w:t xml:space="preserve">  </w:t>
      </w:r>
    </w:p>
    <w:p>
      <w:pPr>
        <w:pStyle w:val="2"/>
        <w:widowControl/>
        <w:numPr>
          <w:ilvl w:val="0"/>
          <w:numId w:val="52"/>
        </w:numPr>
        <w:topLinePunct w:val="0"/>
        <w:ind w:left="0" w:leftChars="0" w:firstLine="480" w:firstLineChars="0"/>
        <w:rPr>
          <w:b w:val="0"/>
          <w:color w:val="auto"/>
          <w:highlight w:val="none"/>
        </w:rPr>
      </w:pPr>
      <w:r>
        <w:rPr>
          <w:color w:val="auto"/>
          <w:highlight w:val="none"/>
        </w:rPr>
        <w:t>本章所制响应文件格式，除格式中明确将该格式作为实质性要求的，一律不具有强制性。</w:t>
      </w:r>
    </w:p>
    <w:p>
      <w:pPr>
        <w:pStyle w:val="2"/>
        <w:widowControl/>
        <w:numPr>
          <w:ilvl w:val="0"/>
          <w:numId w:val="52"/>
        </w:numPr>
        <w:topLinePunct w:val="0"/>
        <w:ind w:left="0" w:leftChars="0" w:firstLine="480" w:firstLineChars="0"/>
        <w:rPr>
          <w:b w:val="0"/>
          <w:color w:val="auto"/>
          <w:highlight w:val="none"/>
        </w:rPr>
      </w:pPr>
      <w:r>
        <w:rPr>
          <w:color w:val="auto"/>
          <w:highlight w:val="none"/>
        </w:rPr>
        <w:t>本章所制响应文件格式有关表格中的备注栏，由供应商根据自身响应情况作解释性说明，不作为必填项。</w:t>
      </w:r>
    </w:p>
    <w:p>
      <w:pPr>
        <w:pStyle w:val="2"/>
        <w:widowControl/>
        <w:numPr>
          <w:ilvl w:val="0"/>
          <w:numId w:val="52"/>
        </w:numPr>
        <w:topLinePunct w:val="0"/>
        <w:ind w:left="0" w:leftChars="0" w:firstLine="480" w:firstLineChars="0"/>
        <w:rPr>
          <w:b w:val="0"/>
          <w:color w:val="auto"/>
          <w:highlight w:val="none"/>
        </w:rPr>
      </w:pPr>
      <w:r>
        <w:rPr>
          <w:color w:val="auto"/>
          <w:highlight w:val="none"/>
        </w:rPr>
        <w:t>本章所制响应文件格式中需要填写的相关内容事项，可能会与本招标项目无关，在不改变响应文件原义、不影响本项目招标需求的情况下，供应商可以不予填写，但应当注明。</w:t>
      </w:r>
    </w:p>
    <w:p>
      <w:pPr>
        <w:rPr>
          <w:highlight w:val="none"/>
        </w:rPr>
      </w:pPr>
      <w:bookmarkStart w:id="84" w:name="_Toc3255"/>
      <w:bookmarkStart w:id="85" w:name="_Toc2497"/>
      <w:r>
        <w:rPr>
          <w:highlight w:val="none"/>
        </w:rPr>
        <w:br w:type="page"/>
      </w:r>
    </w:p>
    <w:p>
      <w:pPr>
        <w:pStyle w:val="4"/>
        <w:widowControl/>
        <w:numPr>
          <w:ilvl w:val="0"/>
          <w:numId w:val="53"/>
        </w:numPr>
        <w:topLinePunct w:val="0"/>
        <w:ind w:left="0" w:leftChars="0" w:firstLine="0" w:firstLineChars="0"/>
        <w:rPr>
          <w:b/>
          <w:highlight w:val="none"/>
        </w:rPr>
      </w:pPr>
      <w:r>
        <w:rPr>
          <w:highlight w:val="none"/>
        </w:rPr>
        <w:t>法定代表人授权书</w:t>
      </w:r>
    </w:p>
    <w:p>
      <w:pPr>
        <w:shd w:val="clear" w:color="auto" w:fill="auto"/>
        <w:spacing w:line="360" w:lineRule="exact"/>
        <w:jc w:val="center"/>
        <w:rPr>
          <w:b/>
          <w:color w:val="auto"/>
          <w:sz w:val="44"/>
          <w:highlight w:val="none"/>
        </w:rPr>
      </w:pPr>
    </w:p>
    <w:p>
      <w:pPr>
        <w:pStyle w:val="2"/>
        <w:widowControl/>
        <w:ind w:firstLine="0" w:firstLineChars="0"/>
        <w:rPr>
          <w:color w:val="auto"/>
          <w:highlight w:val="none"/>
        </w:rPr>
      </w:pPr>
      <w:r>
        <w:rPr>
          <w:color w:val="auto"/>
          <w:highlight w:val="none"/>
        </w:rPr>
        <w:t>XXX：</w:t>
      </w:r>
    </w:p>
    <w:p>
      <w:pPr>
        <w:pStyle w:val="2"/>
        <w:widowControl/>
        <w:rPr>
          <w:color w:val="auto"/>
          <w:highlight w:val="none"/>
        </w:rPr>
      </w:pPr>
      <w:r>
        <w:rPr>
          <w:color w:val="auto"/>
          <w:highlight w:val="none"/>
        </w:rPr>
        <w:t>本授权声明：XXX（单位名称）,XXX（法定代表人姓名、职务）授权XXX（被授权人姓名、职务）为我方参加XXX项目（项目编号：XXX）磋商招标活动的合法代表，以我方名义全权处理该项目有关磋商、报价、签订合同以及执行合同等一切事宜。</w:t>
      </w:r>
    </w:p>
    <w:p>
      <w:pPr>
        <w:shd w:val="clear" w:color="auto" w:fill="auto"/>
        <w:spacing w:line="400" w:lineRule="exact"/>
        <w:ind w:firstLine="480" w:firstLineChars="200"/>
        <w:rPr>
          <w:rFonts w:hint="eastAsia" w:ascii="宋体" w:cs="宋体"/>
          <w:color w:val="auto"/>
          <w:sz w:val="24"/>
          <w:highlight w:val="none"/>
          <w:lang w:bidi="ar-SA"/>
        </w:rPr>
      </w:pPr>
    </w:p>
    <w:p>
      <w:pPr>
        <w:pStyle w:val="2"/>
        <w:widowControl/>
        <w:rPr>
          <w:color w:val="auto"/>
          <w:highlight w:val="none"/>
        </w:rPr>
      </w:pPr>
      <w:r>
        <w:rPr>
          <w:color w:val="auto"/>
          <w:highlight w:val="none"/>
        </w:rPr>
        <w:t>特此声明。</w:t>
      </w:r>
    </w:p>
    <w:p>
      <w:pPr>
        <w:shd w:val="clear" w:color="auto" w:fill="auto"/>
        <w:rPr>
          <w:color w:val="auto"/>
          <w:highlight w:val="none"/>
        </w:rPr>
      </w:pP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供应商名称：XXX（盖单位公章）</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法定代表人（签字或盖章）：XXX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职务：XXX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被授权人签字：XXX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职务：XXX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日期：XXX年XXX月XXX日</w:t>
      </w:r>
    </w:p>
    <w:p>
      <w:pPr>
        <w:shd w:val="clear" w:color="auto" w:fill="auto"/>
        <w:jc w:val="center"/>
        <w:rPr>
          <w:rFonts w:hint="eastAsia" w:ascii="宋体" w:cs="Arial"/>
          <w:b/>
          <w:bCs/>
          <w:color w:val="auto"/>
          <w:sz w:val="32"/>
          <w:szCs w:val="32"/>
          <w:highlight w:val="none"/>
          <w:lang w:bidi="ar-SA"/>
        </w:rPr>
        <w:sectPr>
          <w:headerReference r:id="rId15" w:type="default"/>
          <w:footerReference r:id="rId16" w:type="default"/>
          <w:pgSz w:w="11850" w:h="16783"/>
          <w:pgMar w:top="1417" w:right="1417" w:bottom="1417" w:left="1417" w:header="851" w:footer="992" w:gutter="0"/>
          <w:cols w:space="0" w:num="1"/>
          <w:rtlGutter w:val="0"/>
          <w:docGrid w:type="linesAndChars" w:linePitch="312" w:charSpace="0"/>
        </w:sectPr>
      </w:pPr>
    </w:p>
    <w:p>
      <w:pPr>
        <w:pStyle w:val="4"/>
        <w:widowControl/>
        <w:numPr>
          <w:ilvl w:val="0"/>
          <w:numId w:val="53"/>
        </w:numPr>
        <w:topLinePunct w:val="0"/>
        <w:ind w:left="0" w:leftChars="0" w:firstLine="0" w:firstLineChars="0"/>
        <w:rPr>
          <w:b/>
          <w:highlight w:val="none"/>
        </w:rPr>
      </w:pPr>
      <w:r>
        <w:rPr>
          <w:highlight w:val="none"/>
        </w:rPr>
        <w:t>供应商基本情况表</w:t>
      </w:r>
    </w:p>
    <w:p>
      <w:pPr>
        <w:shd w:val="clear" w:color="auto" w:fill="auto"/>
        <w:jc w:val="center"/>
        <w:rPr>
          <w:rFonts w:hint="eastAsia" w:ascii="宋体" w:cs="Arial"/>
          <w:b/>
          <w:bCs/>
          <w:color w:val="auto"/>
          <w:sz w:val="32"/>
          <w:szCs w:val="32"/>
          <w:highlight w:val="none"/>
          <w:lang w:bidi="ar-SA"/>
        </w:rPr>
      </w:pPr>
    </w:p>
    <w:tbl>
      <w:tblPr>
        <w:tblStyle w:val="2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085"/>
        <w:gridCol w:w="181"/>
        <w:gridCol w:w="1267"/>
        <w:gridCol w:w="1267"/>
        <w:gridCol w:w="421"/>
        <w:gridCol w:w="486"/>
        <w:gridCol w:w="360"/>
        <w:gridCol w:w="842"/>
        <w:gridCol w:w="65"/>
        <w:gridCol w:w="36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供应商名称</w:t>
            </w:r>
          </w:p>
        </w:tc>
        <w:tc>
          <w:tcPr>
            <w:tcW w:w="4117" w:type="pct"/>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注册地址</w:t>
            </w:r>
          </w:p>
        </w:tc>
        <w:tc>
          <w:tcPr>
            <w:tcW w:w="2549" w:type="pct"/>
            <w:gridSpan w:val="6"/>
            <w:noWrap w:val="0"/>
            <w:vAlign w:val="center"/>
          </w:tcPr>
          <w:p>
            <w:pPr>
              <w:shd w:val="clear" w:color="auto" w:fill="auto"/>
              <w:jc w:val="center"/>
              <w:rPr>
                <w:rFonts w:hint="eastAsia" w:ascii="宋体" w:cs="Arial"/>
                <w:bCs/>
                <w:color w:val="auto"/>
                <w:sz w:val="24"/>
                <w:highlight w:val="none"/>
                <w:lang w:bidi="ar-SA"/>
              </w:rPr>
            </w:pP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邮政编码</w:t>
            </w:r>
          </w:p>
        </w:tc>
        <w:tc>
          <w:tcPr>
            <w:tcW w:w="882" w:type="pct"/>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82" w:type="pct"/>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联系方式</w:t>
            </w:r>
          </w:p>
        </w:tc>
        <w:tc>
          <w:tcPr>
            <w:tcW w:w="588"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联系人</w:t>
            </w:r>
          </w:p>
        </w:tc>
        <w:tc>
          <w:tcPr>
            <w:tcW w:w="1960" w:type="pct"/>
            <w:gridSpan w:val="5"/>
            <w:noWrap w:val="0"/>
            <w:vAlign w:val="center"/>
          </w:tcPr>
          <w:p>
            <w:pPr>
              <w:shd w:val="clear" w:color="auto" w:fill="auto"/>
              <w:jc w:val="center"/>
              <w:rPr>
                <w:rFonts w:hint="eastAsia" w:ascii="宋体" w:cs="Arial"/>
                <w:bCs/>
                <w:color w:val="auto"/>
                <w:sz w:val="24"/>
                <w:highlight w:val="none"/>
                <w:lang w:bidi="ar-SA"/>
              </w:rPr>
            </w:pP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882" w:type="pct"/>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82" w:type="pct"/>
            <w:vMerge w:val="continue"/>
            <w:noWrap w:val="0"/>
            <w:vAlign w:val="center"/>
          </w:tcPr>
          <w:p/>
        </w:tc>
        <w:tc>
          <w:tcPr>
            <w:tcW w:w="588"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传真</w:t>
            </w:r>
          </w:p>
        </w:tc>
        <w:tc>
          <w:tcPr>
            <w:tcW w:w="1960" w:type="pct"/>
            <w:gridSpan w:val="5"/>
            <w:noWrap w:val="0"/>
            <w:vAlign w:val="center"/>
          </w:tcPr>
          <w:p>
            <w:pPr>
              <w:shd w:val="clear" w:color="auto" w:fill="auto"/>
              <w:jc w:val="center"/>
              <w:rPr>
                <w:rFonts w:hint="eastAsia" w:ascii="宋体" w:cs="Arial"/>
                <w:bCs/>
                <w:color w:val="auto"/>
                <w:sz w:val="24"/>
                <w:highlight w:val="none"/>
                <w:lang w:bidi="ar-SA"/>
              </w:rPr>
            </w:pP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网址</w:t>
            </w:r>
          </w:p>
        </w:tc>
        <w:tc>
          <w:tcPr>
            <w:tcW w:w="882" w:type="pct"/>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组织结构</w:t>
            </w:r>
          </w:p>
        </w:tc>
        <w:tc>
          <w:tcPr>
            <w:tcW w:w="4117" w:type="pct"/>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法定代表人</w:t>
            </w:r>
          </w:p>
        </w:tc>
        <w:tc>
          <w:tcPr>
            <w:tcW w:w="686" w:type="pct"/>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686" w:type="pct"/>
            <w:noWrap w:val="0"/>
            <w:vAlign w:val="center"/>
          </w:tcPr>
          <w:p>
            <w:pPr>
              <w:shd w:val="clear" w:color="auto" w:fill="auto"/>
              <w:jc w:val="center"/>
              <w:rPr>
                <w:rFonts w:hint="eastAsia" w:ascii="宋体" w:cs="Arial"/>
                <w:bCs/>
                <w:color w:val="auto"/>
                <w:sz w:val="24"/>
                <w:highlight w:val="none"/>
                <w:lang w:bidi="ar-SA"/>
              </w:rPr>
            </w:pPr>
          </w:p>
        </w:tc>
        <w:tc>
          <w:tcPr>
            <w:tcW w:w="686"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686" w:type="pct"/>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技术负责人</w:t>
            </w:r>
          </w:p>
        </w:tc>
        <w:tc>
          <w:tcPr>
            <w:tcW w:w="686" w:type="pct"/>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686" w:type="pct"/>
            <w:noWrap w:val="0"/>
            <w:vAlign w:val="center"/>
          </w:tcPr>
          <w:p>
            <w:pPr>
              <w:shd w:val="clear" w:color="auto" w:fill="auto"/>
              <w:jc w:val="center"/>
              <w:rPr>
                <w:rFonts w:hint="eastAsia" w:ascii="宋体" w:cs="Arial"/>
                <w:bCs/>
                <w:color w:val="auto"/>
                <w:sz w:val="24"/>
                <w:highlight w:val="none"/>
                <w:lang w:bidi="ar-SA"/>
              </w:rPr>
            </w:pPr>
          </w:p>
        </w:tc>
        <w:tc>
          <w:tcPr>
            <w:tcW w:w="686"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p>
        </w:tc>
        <w:tc>
          <w:tcPr>
            <w:tcW w:w="686"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686" w:type="pct"/>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成立时间</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2745" w:type="pct"/>
            <w:gridSpan w:val="8"/>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企业资质等级</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914" w:type="pct"/>
            <w:gridSpan w:val="2"/>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其中</w:t>
            </w:r>
          </w:p>
        </w:tc>
        <w:tc>
          <w:tcPr>
            <w:tcW w:w="914"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项目经理</w:t>
            </w:r>
          </w:p>
        </w:tc>
        <w:tc>
          <w:tcPr>
            <w:tcW w:w="915" w:type="pct"/>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营业执照</w:t>
            </w:r>
            <w:r>
              <w:rPr>
                <w:rFonts w:hint="eastAsia"/>
                <w:color w:val="auto"/>
                <w:sz w:val="24"/>
                <w:szCs w:val="32"/>
                <w:highlight w:val="none"/>
              </w:rPr>
              <w:t>号</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914" w:type="pct"/>
            <w:gridSpan w:val="2"/>
            <w:vMerge w:val="continue"/>
            <w:noWrap w:val="0"/>
            <w:vAlign w:val="center"/>
          </w:tcPr>
          <w:p/>
        </w:tc>
        <w:tc>
          <w:tcPr>
            <w:tcW w:w="914"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高级职称人员</w:t>
            </w:r>
          </w:p>
        </w:tc>
        <w:tc>
          <w:tcPr>
            <w:tcW w:w="915" w:type="pct"/>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注册资金</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914" w:type="pct"/>
            <w:gridSpan w:val="2"/>
            <w:vMerge w:val="continue"/>
            <w:noWrap w:val="0"/>
            <w:vAlign w:val="center"/>
          </w:tcPr>
          <w:p/>
        </w:tc>
        <w:tc>
          <w:tcPr>
            <w:tcW w:w="914"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中级职称人员</w:t>
            </w:r>
          </w:p>
        </w:tc>
        <w:tc>
          <w:tcPr>
            <w:tcW w:w="915" w:type="pct"/>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开户银行</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914" w:type="pct"/>
            <w:gridSpan w:val="2"/>
            <w:vMerge w:val="continue"/>
            <w:noWrap w:val="0"/>
            <w:vAlign w:val="center"/>
          </w:tcPr>
          <w:p/>
        </w:tc>
        <w:tc>
          <w:tcPr>
            <w:tcW w:w="914"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初级职称人员</w:t>
            </w:r>
          </w:p>
        </w:tc>
        <w:tc>
          <w:tcPr>
            <w:tcW w:w="915" w:type="pct"/>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账号</w:t>
            </w:r>
          </w:p>
        </w:tc>
        <w:tc>
          <w:tcPr>
            <w:tcW w:w="1372" w:type="pct"/>
            <w:gridSpan w:val="3"/>
            <w:noWrap w:val="0"/>
            <w:vAlign w:val="center"/>
          </w:tcPr>
          <w:p>
            <w:pPr>
              <w:shd w:val="clear" w:color="auto" w:fill="auto"/>
              <w:jc w:val="center"/>
              <w:rPr>
                <w:rFonts w:hint="eastAsia" w:ascii="宋体" w:cs="Arial"/>
                <w:bCs/>
                <w:color w:val="auto"/>
                <w:sz w:val="24"/>
                <w:highlight w:val="none"/>
                <w:lang w:bidi="ar-SA"/>
              </w:rPr>
            </w:pPr>
          </w:p>
        </w:tc>
        <w:tc>
          <w:tcPr>
            <w:tcW w:w="914" w:type="pct"/>
            <w:gridSpan w:val="2"/>
            <w:vMerge w:val="continue"/>
            <w:noWrap w:val="0"/>
            <w:vAlign w:val="center"/>
          </w:tcPr>
          <w:p/>
        </w:tc>
        <w:tc>
          <w:tcPr>
            <w:tcW w:w="914" w:type="pct"/>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技工</w:t>
            </w:r>
          </w:p>
        </w:tc>
        <w:tc>
          <w:tcPr>
            <w:tcW w:w="915" w:type="pct"/>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经营范围</w:t>
            </w:r>
          </w:p>
        </w:tc>
        <w:tc>
          <w:tcPr>
            <w:tcW w:w="4117" w:type="pct"/>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82" w:type="pc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备注</w:t>
            </w:r>
          </w:p>
        </w:tc>
        <w:tc>
          <w:tcPr>
            <w:tcW w:w="4117" w:type="pct"/>
            <w:gridSpan w:val="11"/>
            <w:noWrap w:val="0"/>
            <w:vAlign w:val="center"/>
          </w:tcPr>
          <w:p>
            <w:pPr>
              <w:shd w:val="clear" w:color="auto" w:fill="auto"/>
              <w:jc w:val="center"/>
              <w:rPr>
                <w:rFonts w:hint="eastAsia" w:ascii="宋体" w:cs="Arial"/>
                <w:bCs/>
                <w:color w:val="auto"/>
                <w:sz w:val="24"/>
                <w:highlight w:val="none"/>
                <w:lang w:bidi="ar-SA"/>
              </w:rPr>
            </w:pPr>
          </w:p>
        </w:tc>
      </w:tr>
    </w:tbl>
    <w:p>
      <w:pPr>
        <w:shd w:val="clear" w:color="auto" w:fill="auto"/>
        <w:adjustRightInd w:val="0"/>
        <w:spacing w:line="400" w:lineRule="exact"/>
        <w:jc w:val="left"/>
        <w:rPr>
          <w:rFonts w:hint="eastAsia" w:ascii="宋体"/>
          <w:color w:val="auto"/>
          <w:sz w:val="24"/>
          <w:highlight w:val="none"/>
        </w:rPr>
      </w:pPr>
    </w:p>
    <w:p>
      <w:pPr>
        <w:shd w:val="clear" w:color="auto" w:fill="auto"/>
        <w:adjustRightInd w:val="0"/>
        <w:spacing w:line="400" w:lineRule="exact"/>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供应商名称：XXX（盖单位公章）</w:t>
      </w:r>
    </w:p>
    <w:p>
      <w:pPr>
        <w:shd w:val="clear" w:color="auto" w:fill="auto"/>
        <w:adjustRightInd w:val="0"/>
        <w:spacing w:line="400" w:lineRule="exact"/>
        <w:jc w:val="left"/>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rPr>
        <w:t>法定代表人或授权代表（签字或盖章）：</w:t>
      </w:r>
      <w:r>
        <w:rPr>
          <w:rFonts w:hint="eastAsia" w:ascii="Times New Roman" w:hAnsi="Times New Roman" w:eastAsia="宋体" w:cs="Times New Roman"/>
          <w:color w:val="auto"/>
          <w:sz w:val="24"/>
          <w:highlight w:val="none"/>
        </w:rPr>
        <w:t>XXX</w:t>
      </w:r>
    </w:p>
    <w:p>
      <w:pPr>
        <w:shd w:val="clear" w:color="auto" w:fill="auto"/>
        <w:adjustRightInd w:val="0"/>
        <w:spacing w:line="400" w:lineRule="exact"/>
        <w:jc w:val="left"/>
        <w:rPr>
          <w:rFonts w:hint="eastAsia" w:ascii="Times New Roman" w:hAnsi="Times New Roman" w:eastAsia="宋体" w:cs="Times New Roman"/>
          <w:b/>
          <w:color w:val="auto"/>
          <w:sz w:val="24"/>
          <w:szCs w:val="32"/>
          <w:highlight w:val="none"/>
          <w:lang w:bidi="ar-SA"/>
        </w:rPr>
      </w:pPr>
      <w:r>
        <w:rPr>
          <w:rFonts w:hint="eastAsia" w:ascii="Times New Roman" w:hAnsi="Times New Roman" w:eastAsia="宋体" w:cs="Times New Roman"/>
          <w:bCs/>
          <w:color w:val="auto"/>
          <w:sz w:val="24"/>
          <w:highlight w:val="none"/>
        </w:rPr>
        <w:t>日期：</w:t>
      </w:r>
      <w:r>
        <w:rPr>
          <w:rFonts w:hint="eastAsia" w:ascii="Times New Roman" w:hAnsi="Times New Roman" w:eastAsia="宋体" w:cs="Times New Roman"/>
          <w:color w:val="auto"/>
          <w:sz w:val="24"/>
          <w:highlight w:val="none"/>
          <w:lang w:bidi="ar-SA"/>
        </w:rPr>
        <w:t>XXX年XXX月XXX日</w:t>
      </w:r>
    </w:p>
    <w:p>
      <w:pPr>
        <w:shd w:val="clear" w:color="auto" w:fill="auto"/>
        <w:jc w:val="center"/>
        <w:rPr>
          <w:rFonts w:hint="eastAsia" w:ascii="宋体" w:cs="宋体"/>
          <w:b/>
          <w:color w:val="auto"/>
          <w:sz w:val="32"/>
          <w:szCs w:val="32"/>
          <w:highlight w:val="none"/>
          <w:lang w:bidi="ar-SA"/>
        </w:rPr>
        <w:sectPr>
          <w:pgSz w:w="11850" w:h="16783"/>
          <w:pgMar w:top="1417" w:right="1417" w:bottom="1417" w:left="1417" w:header="851" w:footer="992" w:gutter="0"/>
          <w:cols w:space="0" w:num="1"/>
          <w:rtlGutter w:val="0"/>
          <w:docGrid w:type="linesAndChars" w:linePitch="312" w:charSpace="0"/>
        </w:sectPr>
      </w:pPr>
    </w:p>
    <w:p>
      <w:pPr>
        <w:pStyle w:val="4"/>
        <w:widowControl/>
        <w:numPr>
          <w:ilvl w:val="0"/>
          <w:numId w:val="53"/>
        </w:numPr>
        <w:topLinePunct w:val="0"/>
        <w:ind w:left="0" w:leftChars="0" w:firstLine="0" w:firstLineChars="0"/>
        <w:rPr>
          <w:b/>
          <w:highlight w:val="none"/>
        </w:rPr>
      </w:pPr>
      <w:r>
        <w:rPr>
          <w:highlight w:val="none"/>
        </w:rPr>
        <w:t>承诺函</w:t>
      </w:r>
    </w:p>
    <w:p>
      <w:pPr>
        <w:pStyle w:val="2"/>
        <w:widowControl/>
        <w:ind w:firstLine="0" w:firstLineChars="0"/>
        <w:rPr>
          <w:color w:val="auto"/>
          <w:highlight w:val="none"/>
        </w:rPr>
      </w:pPr>
      <w:r>
        <w:rPr>
          <w:color w:val="auto"/>
          <w:highlight w:val="none"/>
        </w:rPr>
        <w:t>XXX：</w:t>
      </w:r>
    </w:p>
    <w:p>
      <w:pPr>
        <w:pStyle w:val="2"/>
        <w:widowControl/>
        <w:rPr>
          <w:color w:val="auto"/>
          <w:highlight w:val="none"/>
        </w:rPr>
      </w:pPr>
      <w:r>
        <w:rPr>
          <w:color w:val="auto"/>
          <w:highlight w:val="none"/>
        </w:rPr>
        <w:t>我公司作为本次采购项目的供应商，根据磋商文件要求，现郑重承诺如下：</w:t>
      </w:r>
    </w:p>
    <w:p>
      <w:pPr>
        <w:pStyle w:val="2"/>
        <w:widowControl/>
        <w:numPr>
          <w:ilvl w:val="0"/>
          <w:numId w:val="54"/>
        </w:numPr>
        <w:topLinePunct w:val="0"/>
        <w:ind w:left="0" w:leftChars="0" w:firstLine="480" w:firstLineChars="0"/>
        <w:rPr>
          <w:b w:val="0"/>
          <w:color w:val="auto"/>
          <w:highlight w:val="none"/>
        </w:rPr>
      </w:pPr>
      <w:r>
        <w:rPr>
          <w:color w:val="auto"/>
          <w:highlight w:val="none"/>
        </w:rPr>
        <w:t>具备《中华人民共和国政府采购法》第二十二条第一款和本项目规定的条件：</w:t>
      </w:r>
    </w:p>
    <w:p>
      <w:pPr>
        <w:pStyle w:val="2"/>
        <w:widowControl/>
        <w:numPr>
          <w:ilvl w:val="0"/>
          <w:numId w:val="55"/>
        </w:numPr>
        <w:topLinePunct w:val="0"/>
        <w:ind w:left="0" w:leftChars="0" w:firstLine="480" w:firstLineChars="0"/>
        <w:rPr>
          <w:b w:val="0"/>
          <w:color w:val="auto"/>
          <w:highlight w:val="none"/>
        </w:rPr>
      </w:pPr>
      <w:r>
        <w:rPr>
          <w:color w:val="auto"/>
          <w:highlight w:val="none"/>
        </w:rPr>
        <w:t>具有独立承担民事责任的能力；</w:t>
      </w:r>
    </w:p>
    <w:p>
      <w:pPr>
        <w:pStyle w:val="2"/>
        <w:widowControl/>
        <w:numPr>
          <w:ilvl w:val="0"/>
          <w:numId w:val="55"/>
        </w:numPr>
        <w:topLinePunct w:val="0"/>
        <w:ind w:left="0" w:leftChars="0" w:firstLine="480" w:firstLineChars="0"/>
        <w:rPr>
          <w:b w:val="0"/>
          <w:color w:val="auto"/>
          <w:highlight w:val="none"/>
        </w:rPr>
      </w:pPr>
      <w:r>
        <w:rPr>
          <w:color w:val="auto"/>
          <w:highlight w:val="none"/>
        </w:rPr>
        <w:t>具有良好的商业信誉和健全的财务会计制度；</w:t>
      </w:r>
    </w:p>
    <w:p>
      <w:pPr>
        <w:pStyle w:val="2"/>
        <w:widowControl/>
        <w:numPr>
          <w:ilvl w:val="0"/>
          <w:numId w:val="55"/>
        </w:numPr>
        <w:topLinePunct w:val="0"/>
        <w:ind w:left="0" w:leftChars="0" w:firstLine="480" w:firstLineChars="0"/>
        <w:rPr>
          <w:b w:val="0"/>
          <w:color w:val="auto"/>
          <w:highlight w:val="none"/>
        </w:rPr>
      </w:pPr>
      <w:r>
        <w:rPr>
          <w:color w:val="auto"/>
          <w:highlight w:val="none"/>
        </w:rPr>
        <w:t>具有履行合同所必需的设备和专业技术能力；</w:t>
      </w:r>
    </w:p>
    <w:p>
      <w:pPr>
        <w:pStyle w:val="2"/>
        <w:widowControl/>
        <w:numPr>
          <w:ilvl w:val="0"/>
          <w:numId w:val="55"/>
        </w:numPr>
        <w:topLinePunct w:val="0"/>
        <w:ind w:left="0" w:leftChars="0" w:firstLine="480" w:firstLineChars="0"/>
        <w:rPr>
          <w:b w:val="0"/>
          <w:color w:val="auto"/>
          <w:highlight w:val="none"/>
        </w:rPr>
      </w:pPr>
      <w:r>
        <w:rPr>
          <w:color w:val="auto"/>
          <w:highlight w:val="none"/>
        </w:rPr>
        <w:t>有依法缴纳税收和社会保障资金的良好记录；</w:t>
      </w:r>
    </w:p>
    <w:p>
      <w:pPr>
        <w:pStyle w:val="2"/>
        <w:widowControl/>
        <w:numPr>
          <w:ilvl w:val="0"/>
          <w:numId w:val="55"/>
        </w:numPr>
        <w:topLinePunct w:val="0"/>
        <w:ind w:left="0" w:leftChars="0" w:firstLine="480" w:firstLineChars="0"/>
        <w:rPr>
          <w:b w:val="0"/>
          <w:color w:val="auto"/>
          <w:highlight w:val="none"/>
        </w:rPr>
      </w:pPr>
      <w:r>
        <w:rPr>
          <w:color w:val="auto"/>
          <w:highlight w:val="none"/>
        </w:rPr>
        <w:t>参加政府采购活动前三年内，在经营活动中没有重大违法记录；</w:t>
      </w:r>
    </w:p>
    <w:p>
      <w:pPr>
        <w:pStyle w:val="2"/>
        <w:widowControl/>
        <w:numPr>
          <w:ilvl w:val="0"/>
          <w:numId w:val="55"/>
        </w:numPr>
        <w:topLinePunct w:val="0"/>
        <w:ind w:left="0" w:leftChars="0" w:firstLine="480" w:firstLineChars="0"/>
        <w:rPr>
          <w:b w:val="0"/>
          <w:color w:val="auto"/>
          <w:highlight w:val="none"/>
        </w:rPr>
      </w:pPr>
      <w:r>
        <w:rPr>
          <w:color w:val="auto"/>
          <w:highlight w:val="none"/>
        </w:rPr>
        <w:t>法律、行政法规规定的其他条件；</w:t>
      </w:r>
    </w:p>
    <w:p>
      <w:pPr>
        <w:pStyle w:val="2"/>
        <w:widowControl/>
        <w:numPr>
          <w:ilvl w:val="0"/>
          <w:numId w:val="55"/>
        </w:numPr>
        <w:topLinePunct w:val="0"/>
        <w:ind w:left="0" w:leftChars="0" w:firstLine="480" w:firstLineChars="0"/>
        <w:rPr>
          <w:b w:val="0"/>
          <w:color w:val="auto"/>
          <w:highlight w:val="none"/>
        </w:rPr>
      </w:pPr>
      <w:r>
        <w:rPr>
          <w:color w:val="auto"/>
          <w:highlight w:val="none"/>
        </w:rPr>
        <w:t>根据采购项目提出的特殊条件：具有国家行政主管颁发的乙级及以上测绘资质。</w:t>
      </w:r>
    </w:p>
    <w:p>
      <w:pPr>
        <w:pStyle w:val="2"/>
        <w:widowControl/>
        <w:numPr>
          <w:ilvl w:val="0"/>
          <w:numId w:val="54"/>
        </w:numPr>
        <w:topLinePunct w:val="0"/>
        <w:ind w:left="0" w:leftChars="0" w:firstLine="480" w:firstLineChars="0"/>
        <w:rPr>
          <w:b w:val="0"/>
          <w:color w:val="auto"/>
          <w:highlight w:val="none"/>
        </w:rPr>
      </w:pPr>
      <w:r>
        <w:rPr>
          <w:color w:val="auto"/>
          <w:highlight w:val="none"/>
        </w:rPr>
        <w:t>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2"/>
        <w:widowControl/>
        <w:numPr>
          <w:ilvl w:val="0"/>
          <w:numId w:val="54"/>
        </w:numPr>
        <w:topLinePunct w:val="0"/>
        <w:ind w:left="0" w:leftChars="0" w:firstLine="480" w:firstLineChars="0"/>
        <w:rPr>
          <w:b w:val="0"/>
          <w:color w:val="auto"/>
          <w:highlight w:val="none"/>
        </w:rPr>
      </w:pPr>
      <w:r>
        <w:rPr>
          <w:color w:val="auto"/>
          <w:highlight w:val="none"/>
        </w:rPr>
        <w:t>在参加本次采购活动中，不存在与单位负责人为同一人或者存在直接控股、管理关系的其他供应商参与同一合同项下的政府采购活动的行为。</w:t>
      </w:r>
    </w:p>
    <w:p>
      <w:pPr>
        <w:pStyle w:val="2"/>
        <w:widowControl/>
        <w:numPr>
          <w:ilvl w:val="0"/>
          <w:numId w:val="54"/>
        </w:numPr>
        <w:topLinePunct w:val="0"/>
        <w:ind w:left="0" w:leftChars="0" w:firstLine="480" w:firstLineChars="0"/>
        <w:rPr>
          <w:b w:val="0"/>
          <w:color w:val="auto"/>
          <w:highlight w:val="none"/>
        </w:rPr>
      </w:pPr>
      <w:r>
        <w:rPr>
          <w:color w:val="auto"/>
          <w:highlight w:val="none"/>
        </w:rPr>
        <w:t>在参加本次采购活动中，不存在和其他供应商在同一合同项下的采购项目中，同时委托同一个自然人、同一家庭的人员、同一单位的人员作为代理人的行为。</w:t>
      </w:r>
    </w:p>
    <w:p>
      <w:pPr>
        <w:pStyle w:val="2"/>
        <w:widowControl/>
        <w:numPr>
          <w:ilvl w:val="0"/>
          <w:numId w:val="54"/>
        </w:numPr>
        <w:topLinePunct w:val="0"/>
        <w:ind w:left="0" w:leftChars="0" w:firstLine="480" w:firstLineChars="0"/>
        <w:rPr>
          <w:b w:val="0"/>
          <w:color w:val="auto"/>
          <w:highlight w:val="none"/>
        </w:rPr>
      </w:pPr>
      <w:r>
        <w:rPr>
          <w:color w:val="auto"/>
          <w:highlight w:val="none"/>
        </w:rPr>
        <w:t>如果有《四川省政府采购当事人诚信管理办法》（川财采〔2015〕33号）规定的记入诚信档案的失信行为，将在响应文件中全面如实反映。</w:t>
      </w:r>
    </w:p>
    <w:p>
      <w:pPr>
        <w:pStyle w:val="2"/>
        <w:widowControl/>
        <w:numPr>
          <w:ilvl w:val="0"/>
          <w:numId w:val="54"/>
        </w:numPr>
        <w:topLinePunct w:val="0"/>
        <w:ind w:left="0" w:leftChars="0" w:firstLine="480" w:firstLineChars="0"/>
        <w:rPr>
          <w:b w:val="0"/>
          <w:color w:val="auto"/>
          <w:highlight w:val="none"/>
        </w:rPr>
      </w:pPr>
      <w:r>
        <w:rPr>
          <w:color w:val="auto"/>
          <w:highlight w:val="none"/>
        </w:rPr>
        <w:t>响应文件中提供的任何资料和技术、服务、商务等响应承诺情况都是真实的、有效的、合法的。</w:t>
      </w:r>
    </w:p>
    <w:p>
      <w:pPr>
        <w:pStyle w:val="2"/>
        <w:widowControl/>
        <w:numPr>
          <w:ilvl w:val="0"/>
          <w:numId w:val="54"/>
        </w:numPr>
        <w:topLinePunct w:val="0"/>
        <w:ind w:left="0" w:leftChars="0" w:firstLine="480" w:firstLineChars="0"/>
        <w:rPr>
          <w:b w:val="0"/>
          <w:color w:val="auto"/>
          <w:highlight w:val="none"/>
        </w:rPr>
      </w:pPr>
      <w:r>
        <w:rPr>
          <w:color w:val="auto"/>
          <w:highlight w:val="none"/>
        </w:rPr>
        <w:t>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2"/>
        <w:widowControl/>
        <w:rPr>
          <w:color w:val="auto"/>
          <w:highlight w:val="none"/>
        </w:rPr>
      </w:pPr>
      <w:r>
        <w:rPr>
          <w:color w:val="auto"/>
          <w:highlight w:val="none"/>
        </w:rPr>
        <w:t>本公司对上述承诺的内容事项真实性负责。如经查实上述承诺的内容事项存在虚假，我公司愿意接受以提供虚假材料谋取成交的法律责任。</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法定代表人签字或者加盖个人私章：XXXX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授权代表签字：XXXX</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供应商名称：XXXX（盖章）</w:t>
      </w:r>
    </w:p>
    <w:p>
      <w:pPr>
        <w:shd w:val="clear" w:color="auto" w:fill="auto"/>
        <w:spacing w:line="400" w:lineRule="exact"/>
        <w:ind w:firstLine="480" w:firstLineChars="200"/>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日期：XXX年XXX月XXX日</w:t>
      </w:r>
    </w:p>
    <w:p>
      <w:pPr>
        <w:shd w:val="clear" w:color="auto" w:fill="auto"/>
        <w:jc w:val="center"/>
        <w:rPr>
          <w:b/>
          <w:color w:val="auto"/>
          <w:sz w:val="32"/>
          <w:szCs w:val="32"/>
          <w:highlight w:val="none"/>
        </w:rPr>
        <w:sectPr>
          <w:pgSz w:w="11850" w:h="16783"/>
          <w:pgMar w:top="1417" w:right="1417" w:bottom="1417" w:left="1417" w:header="851" w:footer="992" w:gutter="0"/>
          <w:cols w:space="0" w:num="1"/>
          <w:rtlGutter w:val="0"/>
          <w:docGrid w:type="linesAndChars" w:linePitch="312" w:charSpace="0"/>
        </w:sectPr>
      </w:pPr>
    </w:p>
    <w:p>
      <w:pPr>
        <w:pStyle w:val="4"/>
        <w:widowControl/>
        <w:numPr>
          <w:ilvl w:val="0"/>
          <w:numId w:val="53"/>
        </w:numPr>
        <w:topLinePunct w:val="0"/>
        <w:ind w:left="0" w:leftChars="0" w:firstLine="0" w:firstLineChars="0"/>
        <w:rPr>
          <w:b/>
          <w:highlight w:val="none"/>
        </w:rPr>
      </w:pPr>
      <w:r>
        <w:rPr>
          <w:highlight w:val="none"/>
        </w:rPr>
        <w:t>报价函</w:t>
      </w:r>
    </w:p>
    <w:p>
      <w:pPr>
        <w:shd w:val="clear" w:color="auto" w:fill="auto"/>
        <w:spacing w:line="360" w:lineRule="auto"/>
        <w:rPr>
          <w:rFonts w:hint="eastAsia" w:ascii="宋体"/>
          <w:color w:val="auto"/>
          <w:sz w:val="24"/>
          <w:highlight w:val="none"/>
        </w:rPr>
      </w:pPr>
    </w:p>
    <w:p>
      <w:pPr>
        <w:pStyle w:val="2"/>
        <w:widowControl/>
        <w:ind w:firstLine="0" w:firstLineChars="0"/>
        <w:rPr>
          <w:color w:val="auto"/>
          <w:highlight w:val="none"/>
        </w:rPr>
      </w:pPr>
      <w:r>
        <w:rPr>
          <w:color w:val="auto"/>
          <w:highlight w:val="none"/>
        </w:rPr>
        <w:t>XXX：</w:t>
      </w:r>
    </w:p>
    <w:p>
      <w:pPr>
        <w:pStyle w:val="2"/>
        <w:widowControl/>
        <w:numPr>
          <w:ilvl w:val="0"/>
          <w:numId w:val="56"/>
        </w:numPr>
        <w:ind w:left="0" w:leftChars="0" w:firstLine="480" w:firstLineChars="0"/>
        <w:rPr>
          <w:b w:val="0"/>
          <w:color w:val="auto"/>
          <w:highlight w:val="none"/>
        </w:rPr>
      </w:pPr>
      <w:r>
        <w:rPr>
          <w:color w:val="auto"/>
          <w:highlight w:val="none"/>
        </w:rPr>
        <w:t>我方全面研究了“XXXXXX”项目磋商文件（项目编号：XXXX），决定参加贵单位组织的本项目磋商招标。</w:t>
      </w:r>
    </w:p>
    <w:p>
      <w:pPr>
        <w:pStyle w:val="2"/>
        <w:widowControl/>
        <w:numPr>
          <w:ilvl w:val="0"/>
          <w:numId w:val="56"/>
        </w:numPr>
        <w:ind w:left="0" w:leftChars="0" w:firstLine="480" w:firstLineChars="0"/>
        <w:rPr>
          <w:b w:val="0"/>
          <w:color w:val="auto"/>
          <w:highlight w:val="none"/>
        </w:rPr>
      </w:pPr>
      <w:r>
        <w:rPr>
          <w:color w:val="auto"/>
          <w:highlight w:val="none"/>
        </w:rPr>
        <w:t>总报价为人民币XX万元（大写：XXXX）。</w:t>
      </w:r>
    </w:p>
    <w:p>
      <w:pPr>
        <w:pStyle w:val="2"/>
        <w:widowControl/>
        <w:numPr>
          <w:ilvl w:val="0"/>
          <w:numId w:val="56"/>
        </w:numPr>
        <w:ind w:left="0" w:leftChars="0" w:firstLine="480" w:firstLineChars="0"/>
        <w:rPr>
          <w:b w:val="0"/>
          <w:color w:val="auto"/>
          <w:highlight w:val="none"/>
        </w:rPr>
      </w:pPr>
      <w:r>
        <w:rPr>
          <w:color w:val="auto"/>
          <w:highlight w:val="none"/>
        </w:rPr>
        <w:t>我方为本项目提交的响应文件正本1份，副本2份，用于磋商报价。</w:t>
      </w:r>
    </w:p>
    <w:p>
      <w:pPr>
        <w:pStyle w:val="2"/>
        <w:widowControl/>
        <w:numPr>
          <w:ilvl w:val="0"/>
          <w:numId w:val="56"/>
        </w:numPr>
        <w:ind w:left="0" w:leftChars="0" w:firstLine="480" w:firstLineChars="0"/>
        <w:rPr>
          <w:b w:val="0"/>
          <w:color w:val="auto"/>
          <w:highlight w:val="none"/>
        </w:rPr>
      </w:pPr>
      <w:r>
        <w:rPr>
          <w:color w:val="auto"/>
          <w:highlight w:val="none"/>
        </w:rPr>
        <w:t>我方愿意提供贵单位可能另外要求的，与磋商报价有关的文件资料，并保证我方已提供和将要提供的文件资料是真实、准确的。</w:t>
      </w:r>
    </w:p>
    <w:p>
      <w:pPr>
        <w:pStyle w:val="2"/>
        <w:widowControl/>
        <w:numPr>
          <w:ilvl w:val="0"/>
          <w:numId w:val="56"/>
        </w:numPr>
        <w:ind w:left="0" w:leftChars="0" w:firstLine="480" w:firstLineChars="0"/>
        <w:rPr>
          <w:b w:val="0"/>
          <w:color w:val="auto"/>
          <w:highlight w:val="none"/>
        </w:rPr>
      </w:pPr>
      <w:r>
        <w:rPr>
          <w:color w:val="auto"/>
          <w:highlight w:val="none"/>
        </w:rPr>
        <w:t>本次磋商，我方递交的响应文件有效期为磋商文件规定起算之日起XX天。</w:t>
      </w:r>
    </w:p>
    <w:p>
      <w:pPr>
        <w:shd w:val="clear" w:color="auto" w:fill="auto"/>
        <w:adjustRightInd w:val="0"/>
        <w:spacing w:line="400" w:lineRule="exact"/>
        <w:ind w:firstLine="480" w:firstLineChars="200"/>
        <w:jc w:val="left"/>
        <w:rPr>
          <w:rFonts w:hint="eastAsia" w:ascii="宋体"/>
          <w:color w:val="auto"/>
          <w:sz w:val="24"/>
          <w:highlight w:val="none"/>
        </w:rPr>
      </w:pPr>
    </w:p>
    <w:p>
      <w:pPr>
        <w:shd w:val="clear" w:color="auto" w:fill="auto"/>
        <w:adjustRightInd w:val="0"/>
        <w:spacing w:line="400" w:lineRule="exact"/>
        <w:ind w:firstLine="480" w:firstLineChars="200"/>
        <w:jc w:val="left"/>
        <w:rPr>
          <w:rFonts w:hint="eastAsia" w:ascii="宋体"/>
          <w:color w:val="auto"/>
          <w:sz w:val="24"/>
          <w:highlight w:val="none"/>
        </w:rPr>
      </w:pPr>
    </w:p>
    <w:p>
      <w:pPr>
        <w:shd w:val="clear" w:color="auto" w:fill="auto"/>
        <w:adjustRightInd w:val="0"/>
        <w:spacing w:line="400" w:lineRule="exact"/>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供应商名称：XXX（盖单位公章）</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法定代表人或授权代表（签字或盖章）：XXX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通讯地址：XXX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邮政编码：XXX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联系电话：XXX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传真：XXX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lang w:bidi="ar-SA"/>
        </w:rPr>
        <w:t>XXX年XXX月XXX日</w:t>
      </w:r>
    </w:p>
    <w:p>
      <w:pPr>
        <w:pStyle w:val="26"/>
        <w:shd w:val="clear" w:color="auto" w:fill="auto"/>
        <w:rPr>
          <w:color w:val="auto"/>
          <w:highlight w:val="none"/>
        </w:rPr>
        <w:sectPr>
          <w:pgSz w:w="11850" w:h="16783"/>
          <w:pgMar w:top="1417" w:right="1417" w:bottom="1417" w:left="1417" w:header="851" w:footer="992" w:gutter="0"/>
          <w:cols w:space="0" w:num="1"/>
          <w:rtlGutter w:val="0"/>
          <w:docGrid w:type="linesAndChars" w:linePitch="312" w:charSpace="0"/>
        </w:sectPr>
      </w:pPr>
    </w:p>
    <w:p>
      <w:pPr>
        <w:pStyle w:val="4"/>
        <w:widowControl/>
        <w:numPr>
          <w:ilvl w:val="0"/>
          <w:numId w:val="53"/>
        </w:numPr>
        <w:topLinePunct w:val="0"/>
        <w:ind w:left="0" w:leftChars="0" w:firstLine="0" w:firstLineChars="0"/>
        <w:rPr>
          <w:b/>
          <w:highlight w:val="none"/>
        </w:rPr>
      </w:pPr>
      <w:r>
        <w:rPr>
          <w:highlight w:val="none"/>
        </w:rPr>
        <w:t>供应商类似项目业绩一览表</w:t>
      </w:r>
    </w:p>
    <w:p>
      <w:pPr>
        <w:shd w:val="clear" w:color="auto" w:fill="auto"/>
        <w:spacing w:line="400" w:lineRule="exact"/>
        <w:rPr>
          <w:rFonts w:hint="eastAsia" w:ascii="宋体" w:cs="Arial"/>
          <w:color w:val="auto"/>
          <w:sz w:val="24"/>
          <w:highlight w:val="none"/>
          <w:lang w:bidi="ar-SA"/>
        </w:rPr>
      </w:pP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726"/>
        <w:gridCol w:w="1458"/>
        <w:gridCol w:w="1335"/>
        <w:gridCol w:w="1175"/>
        <w:gridCol w:w="1434"/>
        <w:gridCol w:w="6"/>
        <w:gridCol w:w="1621"/>
        <w:gridCol w:w="13"/>
        <w:gridCol w:w="1397"/>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tcBorders>
              <w:top w:val="single" w:color="auto" w:sz="4" w:space="0"/>
            </w:tcBorders>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年份</w:t>
            </w:r>
          </w:p>
        </w:tc>
        <w:tc>
          <w:tcPr>
            <w:tcW w:w="794" w:type="pct"/>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用户名称</w:t>
            </w:r>
          </w:p>
        </w:tc>
        <w:tc>
          <w:tcPr>
            <w:tcW w:w="727" w:type="pct"/>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项目名称</w:t>
            </w:r>
          </w:p>
        </w:tc>
        <w:tc>
          <w:tcPr>
            <w:tcW w:w="640" w:type="pct"/>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完成时间</w:t>
            </w:r>
          </w:p>
        </w:tc>
        <w:tc>
          <w:tcPr>
            <w:tcW w:w="784" w:type="pct"/>
            <w:gridSpan w:val="2"/>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合同金额</w:t>
            </w:r>
          </w:p>
        </w:tc>
        <w:tc>
          <w:tcPr>
            <w:tcW w:w="890" w:type="pct"/>
            <w:gridSpan w:val="2"/>
            <w:tcBorders>
              <w:righ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是否通过验收</w:t>
            </w: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5" w:type="pct"/>
          <w:cantSplit/>
          <w:trHeight w:val="600" w:hRule="atLeast"/>
          <w:jc w:val="center"/>
        </w:trPr>
        <w:tc>
          <w:tcPr>
            <w:tcW w:w="396" w:type="pct"/>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794" w:type="pct"/>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727" w:type="pct"/>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640" w:type="pct"/>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781" w:type="pct"/>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886" w:type="pct"/>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768" w:type="pct"/>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rPr>
                <w:rFonts w:hint="eastAsia" w:ascii="宋体" w:cs="Arial"/>
                <w:color w:val="auto"/>
                <w:highlight w:val="none"/>
                <w:lang w:bidi="ar-SA"/>
              </w:rPr>
            </w:pPr>
          </w:p>
        </w:tc>
        <w:tc>
          <w:tcPr>
            <w:tcW w:w="794" w:type="pct"/>
            <w:noWrap w:val="0"/>
            <w:vAlign w:val="center"/>
          </w:tcPr>
          <w:p>
            <w:pPr>
              <w:shd w:val="clear" w:color="auto" w:fill="auto"/>
              <w:spacing w:line="400" w:lineRule="exact"/>
              <w:rPr>
                <w:rFonts w:hint="eastAsia" w:ascii="宋体" w:cs="Arial"/>
                <w:color w:val="auto"/>
                <w:highlight w:val="none"/>
                <w:lang w:bidi="ar-SA"/>
              </w:rPr>
            </w:pPr>
          </w:p>
        </w:tc>
        <w:tc>
          <w:tcPr>
            <w:tcW w:w="727" w:type="pct"/>
            <w:noWrap w:val="0"/>
            <w:vAlign w:val="center"/>
          </w:tcPr>
          <w:p>
            <w:pPr>
              <w:shd w:val="clear" w:color="auto" w:fill="auto"/>
              <w:spacing w:line="400" w:lineRule="exact"/>
              <w:rPr>
                <w:rFonts w:hint="eastAsia" w:ascii="宋体" w:cs="Arial"/>
                <w:color w:val="auto"/>
                <w:highlight w:val="none"/>
                <w:lang w:bidi="ar-SA"/>
              </w:rPr>
            </w:pPr>
          </w:p>
        </w:tc>
        <w:tc>
          <w:tcPr>
            <w:tcW w:w="640" w:type="pct"/>
            <w:noWrap w:val="0"/>
            <w:vAlign w:val="center"/>
          </w:tcPr>
          <w:p>
            <w:pPr>
              <w:shd w:val="clear" w:color="auto" w:fill="auto"/>
              <w:spacing w:line="400" w:lineRule="exact"/>
              <w:rPr>
                <w:rFonts w:hint="eastAsia" w:ascii="宋体" w:cs="Arial"/>
                <w:color w:val="auto"/>
                <w:highlight w:val="none"/>
                <w:lang w:bidi="ar-SA"/>
              </w:rPr>
            </w:pPr>
          </w:p>
        </w:tc>
        <w:tc>
          <w:tcPr>
            <w:tcW w:w="784" w:type="pct"/>
            <w:gridSpan w:val="2"/>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890" w:type="pct"/>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396" w:type="pct"/>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396" w:type="pct"/>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396"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396"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396"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396" w:type="pct"/>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94" w:type="pct"/>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27" w:type="pct"/>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640" w:type="pct"/>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84" w:type="pct"/>
            <w:gridSpan w:val="2"/>
            <w:tcBorders>
              <w:top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890" w:type="pct"/>
            <w:gridSpan w:val="2"/>
            <w:tcBorders>
              <w:top w:val="single" w:color="auto" w:sz="4" w:space="0"/>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765" w:type="pct"/>
            <w:gridSpan w:val="2"/>
            <w:tcBorders>
              <w:top w:val="single" w:color="auto" w:sz="4" w:space="0"/>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bl>
    <w:p>
      <w:pPr>
        <w:pStyle w:val="2"/>
        <w:widowControl/>
        <w:rPr>
          <w:color w:val="auto"/>
          <w:highlight w:val="none"/>
        </w:rPr>
      </w:pPr>
      <w:r>
        <w:rPr>
          <w:color w:val="auto"/>
          <w:highlight w:val="none"/>
        </w:rPr>
        <w:t>注：供应商（仅限于供应商自己的）以上业绩需提供有关书面证明材料，如合同复印件或中标通知书。</w:t>
      </w:r>
    </w:p>
    <w:p>
      <w:pPr>
        <w:shd w:val="clear" w:color="auto" w:fill="auto"/>
        <w:spacing w:line="400" w:lineRule="exact"/>
        <w:ind w:left="360"/>
        <w:jc w:val="center"/>
        <w:rPr>
          <w:rFonts w:hint="eastAsia" w:ascii="宋体" w:cs="Arial"/>
          <w:color w:val="auto"/>
          <w:sz w:val="24"/>
          <w:highlight w:val="none"/>
          <w:lang w:bidi="ar-SA"/>
        </w:rPr>
      </w:pPr>
    </w:p>
    <w:p>
      <w:pPr>
        <w:shd w:val="clear" w:color="auto" w:fill="auto"/>
        <w:jc w:val="left"/>
        <w:rPr>
          <w:rFonts w:hint="eastAsia" w:ascii="宋体" w:cs="Arial"/>
          <w:color w:val="auto"/>
          <w:sz w:val="24"/>
          <w:highlight w:val="none"/>
          <w:lang w:bidi="ar-SA"/>
        </w:rPr>
      </w:pPr>
    </w:p>
    <w:p>
      <w:pPr>
        <w:shd w:val="clear" w:color="auto" w:fill="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供应商名称：XXXX（盖单位公章）</w:t>
      </w:r>
    </w:p>
    <w:p>
      <w:pPr>
        <w:shd w:val="clear" w:color="auto" w:fill="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法定代表人或授权代表（签字）：XXXX</w:t>
      </w:r>
    </w:p>
    <w:p>
      <w:pPr>
        <w:shd w:val="clear" w:color="auto" w:fill="auto"/>
        <w:adjustRightInd w:val="0"/>
        <w:spacing w:line="400" w:lineRule="exact"/>
        <w:ind w:firstLine="480" w:firstLineChars="200"/>
        <w:jc w:val="left"/>
        <w:rPr>
          <w:rFonts w:hint="eastAsia" w:ascii="Times New Roman" w:hAnsi="Times New Roman" w:eastAsia="宋体" w:cs="Times New Roman"/>
          <w:b/>
          <w:color w:val="auto"/>
          <w:sz w:val="24"/>
          <w:szCs w:val="32"/>
          <w:highlight w:val="none"/>
          <w:lang w:bidi="ar-SA"/>
        </w:rPr>
      </w:pPr>
      <w:r>
        <w:rPr>
          <w:rFonts w:hint="eastAsia" w:ascii="Times New Roman" w:hAnsi="Times New Roman" w:eastAsia="宋体" w:cs="Times New Roman"/>
          <w:color w:val="auto"/>
          <w:sz w:val="24"/>
          <w:highlight w:val="none"/>
        </w:rPr>
        <w:t xml:space="preserve">日期: </w:t>
      </w:r>
      <w:bookmarkStart w:id="86" w:name="_Toc436410129"/>
      <w:bookmarkStart w:id="87" w:name="_Toc436820890"/>
      <w:bookmarkStart w:id="88" w:name="_Toc436385992"/>
      <w:bookmarkStart w:id="89" w:name="_Toc436404120"/>
      <w:bookmarkStart w:id="90" w:name="_Toc307564880"/>
      <w:r>
        <w:rPr>
          <w:rFonts w:hint="eastAsia" w:ascii="Times New Roman" w:hAnsi="Times New Roman" w:eastAsia="宋体" w:cs="Times New Roman"/>
          <w:color w:val="auto"/>
          <w:sz w:val="24"/>
          <w:highlight w:val="none"/>
          <w:lang w:bidi="ar-SA"/>
        </w:rPr>
        <w:t>XXX年XXX月XXX日</w:t>
      </w:r>
    </w:p>
    <w:p>
      <w:pPr>
        <w:shd w:val="clear" w:color="auto" w:fill="auto"/>
        <w:ind w:firstLine="420" w:firstLineChars="200"/>
        <w:jc w:val="left"/>
        <w:rPr>
          <w:rFonts w:ascii="黑体" w:hAnsi="黑体"/>
          <w:color w:val="auto"/>
          <w:szCs w:val="28"/>
          <w:highlight w:val="none"/>
        </w:rPr>
      </w:pPr>
    </w:p>
    <w:bookmarkEnd w:id="86"/>
    <w:bookmarkEnd w:id="87"/>
    <w:bookmarkEnd w:id="88"/>
    <w:bookmarkEnd w:id="89"/>
    <w:bookmarkEnd w:id="90"/>
    <w:p>
      <w:pPr>
        <w:rPr>
          <w:highlight w:val="none"/>
        </w:rPr>
      </w:pPr>
      <w:bookmarkStart w:id="91" w:name="_Toc14767"/>
      <w:bookmarkStart w:id="92" w:name="_Toc6351"/>
      <w:bookmarkStart w:id="93" w:name="_Toc19629"/>
      <w:bookmarkStart w:id="94" w:name="_Toc6353"/>
      <w:bookmarkStart w:id="95" w:name="_Toc25970"/>
      <w:bookmarkStart w:id="96" w:name="_Toc16560"/>
      <w:bookmarkStart w:id="97" w:name="_Toc15733"/>
      <w:bookmarkStart w:id="98" w:name="_Toc23547"/>
      <w:bookmarkStart w:id="99" w:name="_Toc31298"/>
      <w:bookmarkStart w:id="100" w:name="_Toc2022"/>
      <w:bookmarkStart w:id="101" w:name="_Toc31761"/>
      <w:bookmarkStart w:id="102" w:name="_Toc1650"/>
      <w:r>
        <w:rPr>
          <w:highlight w:val="none"/>
        </w:rPr>
        <w:br w:type="page"/>
      </w:r>
    </w:p>
    <w:bookmarkEnd w:id="91"/>
    <w:bookmarkEnd w:id="92"/>
    <w:bookmarkEnd w:id="93"/>
    <w:bookmarkEnd w:id="94"/>
    <w:bookmarkEnd w:id="95"/>
    <w:bookmarkEnd w:id="96"/>
    <w:bookmarkEnd w:id="97"/>
    <w:bookmarkEnd w:id="98"/>
    <w:bookmarkEnd w:id="99"/>
    <w:p>
      <w:pPr>
        <w:pStyle w:val="4"/>
        <w:numPr>
          <w:ilvl w:val="0"/>
          <w:numId w:val="53"/>
        </w:numPr>
        <w:topLinePunct w:val="0"/>
        <w:ind w:left="0" w:leftChars="0" w:firstLine="0" w:firstLineChars="0"/>
        <w:rPr>
          <w:b/>
          <w:highlight w:val="none"/>
        </w:rPr>
      </w:pPr>
      <w:r>
        <w:rPr>
          <w:highlight w:val="none"/>
        </w:rPr>
        <w:t>开标一览表</w:t>
      </w:r>
      <w:bookmarkEnd w:id="100"/>
      <w:bookmarkEnd w:id="101"/>
      <w:bookmarkEnd w:id="102"/>
    </w:p>
    <w:p>
      <w:pPr>
        <w:pStyle w:val="2"/>
        <w:rPr>
          <w:color w:val="auto"/>
          <w:highlight w:val="none"/>
        </w:rPr>
      </w:pPr>
      <w:r>
        <w:rPr>
          <w:color w:val="auto"/>
          <w:highlight w:val="none"/>
        </w:rPr>
        <w:t xml:space="preserve">项目名称：                                                   </w:t>
      </w:r>
    </w:p>
    <w:p>
      <w:pPr>
        <w:pStyle w:val="2"/>
        <w:rPr>
          <w:color w:val="auto"/>
          <w:highlight w:val="none"/>
        </w:rPr>
      </w:pPr>
      <w:r>
        <w:rPr>
          <w:color w:val="auto"/>
          <w:highlight w:val="none"/>
        </w:rPr>
        <w:t xml:space="preserve">项目编号：                                                              </w:t>
      </w:r>
    </w:p>
    <w:tbl>
      <w:tblPr>
        <w:tblStyle w:val="2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6"/>
        <w:gridCol w:w="2711"/>
        <w:gridCol w:w="2256"/>
        <w:gridCol w:w="1515"/>
        <w:gridCol w:w="1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709"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序号</w:t>
            </w:r>
          </w:p>
        </w:tc>
        <w:tc>
          <w:tcPr>
            <w:tcW w:w="1460"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服务内容</w:t>
            </w:r>
          </w:p>
        </w:tc>
        <w:tc>
          <w:tcPr>
            <w:tcW w:w="1215"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磋商报价（万元）</w:t>
            </w:r>
          </w:p>
        </w:tc>
        <w:tc>
          <w:tcPr>
            <w:tcW w:w="816"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服务期限</w:t>
            </w:r>
          </w:p>
        </w:tc>
        <w:tc>
          <w:tcPr>
            <w:tcW w:w="797"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709"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1</w:t>
            </w:r>
          </w:p>
        </w:tc>
        <w:tc>
          <w:tcPr>
            <w:tcW w:w="1460" w:type="pct"/>
            <w:noWrap/>
            <w:vAlign w:val="center"/>
          </w:tcPr>
          <w:p>
            <w:pPr>
              <w:keepNext/>
              <w:keepLines/>
              <w:widowControl w:val="0"/>
              <w:shd w:val="clear" w:color="auto" w:fill="auto"/>
              <w:kinsoku w:val="0"/>
              <w:autoSpaceDE w:val="0"/>
              <w:autoSpaceDN w:val="0"/>
              <w:adjustRightInd w:val="0"/>
              <w:snapToGrid w:val="0"/>
              <w:spacing w:before="260" w:after="260" w:line="240" w:lineRule="auto"/>
              <w:jc w:val="center"/>
              <w:textAlignment w:val="baseline"/>
              <w:outlineLvl w:val="9"/>
              <w:rPr>
                <w:rFonts w:hint="eastAsia" w:ascii="宋体" w:hAnsi="Arial" w:eastAsia="宋体" w:cs="宋体"/>
                <w:b/>
                <w:bCs/>
                <w:snapToGrid w:val="0"/>
                <w:color w:val="auto"/>
                <w:kern w:val="0"/>
                <w:sz w:val="24"/>
                <w:szCs w:val="32"/>
                <w:highlight w:val="none"/>
                <w:lang w:bidi="ar-SA"/>
              </w:rPr>
            </w:pPr>
          </w:p>
        </w:tc>
        <w:tc>
          <w:tcPr>
            <w:tcW w:w="1215" w:type="pct"/>
            <w:noWrap/>
            <w:vAlign w:val="center"/>
          </w:tcPr>
          <w:p>
            <w:pPr>
              <w:pStyle w:val="27"/>
              <w:shd w:val="clear" w:color="auto" w:fill="auto"/>
              <w:jc w:val="center"/>
              <w:rPr>
                <w:rFonts w:cs="宋体"/>
                <w:color w:val="auto"/>
                <w:kern w:val="0"/>
                <w:sz w:val="24"/>
                <w:highlight w:val="none"/>
                <w:lang w:bidi="ar-SA"/>
              </w:rPr>
            </w:pPr>
          </w:p>
        </w:tc>
        <w:tc>
          <w:tcPr>
            <w:tcW w:w="816"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 xml:space="preserve">   </w:t>
            </w:r>
          </w:p>
        </w:tc>
        <w:tc>
          <w:tcPr>
            <w:tcW w:w="797" w:type="pct"/>
            <w:noWrap/>
            <w:vAlign w:val="center"/>
          </w:tcPr>
          <w:p>
            <w:pPr>
              <w:pStyle w:val="27"/>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09"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2</w:t>
            </w:r>
          </w:p>
        </w:tc>
        <w:tc>
          <w:tcPr>
            <w:tcW w:w="1460" w:type="pct"/>
            <w:noWrap/>
            <w:vAlign w:val="center"/>
          </w:tcPr>
          <w:p>
            <w:pPr>
              <w:keepNext/>
              <w:keepLines/>
              <w:widowControl w:val="0"/>
              <w:shd w:val="clear" w:color="auto" w:fill="auto"/>
              <w:kinsoku w:val="0"/>
              <w:autoSpaceDE w:val="0"/>
              <w:autoSpaceDN w:val="0"/>
              <w:adjustRightInd w:val="0"/>
              <w:snapToGrid w:val="0"/>
              <w:spacing w:before="260" w:after="260" w:line="240" w:lineRule="auto"/>
              <w:jc w:val="center"/>
              <w:textAlignment w:val="baseline"/>
              <w:outlineLvl w:val="9"/>
              <w:rPr>
                <w:rFonts w:hint="eastAsia" w:ascii="宋体" w:hAnsi="Arial" w:eastAsia="宋体" w:cs="宋体"/>
                <w:b/>
                <w:bCs/>
                <w:snapToGrid w:val="0"/>
                <w:color w:val="auto"/>
                <w:kern w:val="0"/>
                <w:sz w:val="24"/>
                <w:szCs w:val="32"/>
                <w:highlight w:val="none"/>
                <w:lang w:bidi="ar-SA"/>
              </w:rPr>
            </w:pPr>
          </w:p>
        </w:tc>
        <w:tc>
          <w:tcPr>
            <w:tcW w:w="1215" w:type="pct"/>
            <w:noWrap/>
            <w:vAlign w:val="center"/>
          </w:tcPr>
          <w:p>
            <w:pPr>
              <w:pStyle w:val="27"/>
              <w:shd w:val="clear" w:color="auto" w:fill="auto"/>
              <w:jc w:val="center"/>
              <w:rPr>
                <w:rFonts w:cs="宋体"/>
                <w:color w:val="auto"/>
                <w:kern w:val="0"/>
                <w:sz w:val="24"/>
                <w:highlight w:val="none"/>
                <w:lang w:bidi="ar-SA"/>
              </w:rPr>
            </w:pPr>
          </w:p>
        </w:tc>
        <w:tc>
          <w:tcPr>
            <w:tcW w:w="816" w:type="pct"/>
            <w:noWrap/>
            <w:vAlign w:val="center"/>
          </w:tcPr>
          <w:p>
            <w:pPr>
              <w:pStyle w:val="27"/>
              <w:shd w:val="clear" w:color="auto" w:fill="auto"/>
              <w:jc w:val="center"/>
              <w:rPr>
                <w:rFonts w:cs="宋体"/>
                <w:color w:val="auto"/>
                <w:kern w:val="0"/>
                <w:sz w:val="24"/>
                <w:highlight w:val="none"/>
                <w:lang w:bidi="ar-SA"/>
              </w:rPr>
            </w:pPr>
          </w:p>
        </w:tc>
        <w:tc>
          <w:tcPr>
            <w:tcW w:w="797" w:type="pct"/>
            <w:noWrap/>
            <w:vAlign w:val="center"/>
          </w:tcPr>
          <w:p>
            <w:pPr>
              <w:pStyle w:val="27"/>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09"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3</w:t>
            </w:r>
          </w:p>
        </w:tc>
        <w:tc>
          <w:tcPr>
            <w:tcW w:w="1460" w:type="pct"/>
            <w:noWrap/>
            <w:vAlign w:val="center"/>
          </w:tcPr>
          <w:p>
            <w:pPr>
              <w:keepNext/>
              <w:keepLines/>
              <w:widowControl w:val="0"/>
              <w:shd w:val="clear" w:color="auto" w:fill="auto"/>
              <w:kinsoku w:val="0"/>
              <w:autoSpaceDE w:val="0"/>
              <w:autoSpaceDN w:val="0"/>
              <w:adjustRightInd w:val="0"/>
              <w:snapToGrid w:val="0"/>
              <w:spacing w:before="260" w:after="260" w:line="240" w:lineRule="auto"/>
              <w:jc w:val="center"/>
              <w:textAlignment w:val="baseline"/>
              <w:outlineLvl w:val="9"/>
              <w:rPr>
                <w:rFonts w:hint="eastAsia" w:ascii="宋体" w:hAnsi="Arial" w:eastAsia="宋体" w:cs="宋体"/>
                <w:b/>
                <w:bCs/>
                <w:snapToGrid w:val="0"/>
                <w:color w:val="auto"/>
                <w:kern w:val="0"/>
                <w:sz w:val="24"/>
                <w:szCs w:val="32"/>
                <w:highlight w:val="none"/>
                <w:lang w:bidi="ar-SA"/>
              </w:rPr>
            </w:pPr>
          </w:p>
        </w:tc>
        <w:tc>
          <w:tcPr>
            <w:tcW w:w="1215" w:type="pct"/>
            <w:noWrap/>
            <w:vAlign w:val="center"/>
          </w:tcPr>
          <w:p>
            <w:pPr>
              <w:pStyle w:val="27"/>
              <w:shd w:val="clear" w:color="auto" w:fill="auto"/>
              <w:jc w:val="center"/>
              <w:rPr>
                <w:rFonts w:cs="宋体"/>
                <w:color w:val="auto"/>
                <w:kern w:val="0"/>
                <w:sz w:val="24"/>
                <w:highlight w:val="none"/>
                <w:lang w:bidi="ar-SA"/>
              </w:rPr>
            </w:pPr>
          </w:p>
        </w:tc>
        <w:tc>
          <w:tcPr>
            <w:tcW w:w="816" w:type="pct"/>
            <w:noWrap/>
            <w:vAlign w:val="center"/>
          </w:tcPr>
          <w:p>
            <w:pPr>
              <w:pStyle w:val="27"/>
              <w:shd w:val="clear" w:color="auto" w:fill="auto"/>
              <w:jc w:val="center"/>
              <w:rPr>
                <w:rFonts w:cs="宋体"/>
                <w:color w:val="auto"/>
                <w:kern w:val="0"/>
                <w:sz w:val="24"/>
                <w:highlight w:val="none"/>
                <w:lang w:bidi="ar-SA"/>
              </w:rPr>
            </w:pPr>
          </w:p>
        </w:tc>
        <w:tc>
          <w:tcPr>
            <w:tcW w:w="797" w:type="pct"/>
            <w:noWrap/>
            <w:vAlign w:val="center"/>
          </w:tcPr>
          <w:p>
            <w:pPr>
              <w:pStyle w:val="27"/>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09" w:type="pct"/>
            <w:noWrap/>
            <w:vAlign w:val="center"/>
          </w:tcPr>
          <w:p>
            <w:pPr>
              <w:pStyle w:val="27"/>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4</w:t>
            </w:r>
          </w:p>
        </w:tc>
        <w:tc>
          <w:tcPr>
            <w:tcW w:w="1460" w:type="pct"/>
            <w:noWrap/>
            <w:vAlign w:val="center"/>
          </w:tcPr>
          <w:p>
            <w:pPr>
              <w:keepNext/>
              <w:keepLines/>
              <w:widowControl w:val="0"/>
              <w:shd w:val="clear" w:color="auto" w:fill="auto"/>
              <w:kinsoku w:val="0"/>
              <w:autoSpaceDE w:val="0"/>
              <w:autoSpaceDN w:val="0"/>
              <w:adjustRightInd w:val="0"/>
              <w:snapToGrid w:val="0"/>
              <w:spacing w:before="260" w:after="260" w:line="240" w:lineRule="auto"/>
              <w:jc w:val="center"/>
              <w:textAlignment w:val="baseline"/>
              <w:outlineLvl w:val="9"/>
              <w:rPr>
                <w:rFonts w:hint="eastAsia" w:ascii="宋体" w:hAnsi="Arial" w:eastAsia="宋体" w:cs="宋体"/>
                <w:b/>
                <w:bCs/>
                <w:snapToGrid w:val="0"/>
                <w:color w:val="auto"/>
                <w:kern w:val="0"/>
                <w:sz w:val="24"/>
                <w:szCs w:val="32"/>
                <w:highlight w:val="none"/>
                <w:lang w:bidi="ar-SA"/>
              </w:rPr>
            </w:pPr>
          </w:p>
        </w:tc>
        <w:tc>
          <w:tcPr>
            <w:tcW w:w="1215" w:type="pct"/>
            <w:noWrap/>
            <w:vAlign w:val="center"/>
          </w:tcPr>
          <w:p>
            <w:pPr>
              <w:pStyle w:val="27"/>
              <w:shd w:val="clear" w:color="auto" w:fill="auto"/>
              <w:jc w:val="center"/>
              <w:rPr>
                <w:rFonts w:cs="宋体"/>
                <w:color w:val="auto"/>
                <w:kern w:val="0"/>
                <w:sz w:val="24"/>
                <w:highlight w:val="none"/>
                <w:lang w:bidi="ar-SA"/>
              </w:rPr>
            </w:pPr>
          </w:p>
        </w:tc>
        <w:tc>
          <w:tcPr>
            <w:tcW w:w="816" w:type="pct"/>
            <w:noWrap/>
            <w:vAlign w:val="center"/>
          </w:tcPr>
          <w:p>
            <w:pPr>
              <w:pStyle w:val="27"/>
              <w:shd w:val="clear" w:color="auto" w:fill="auto"/>
              <w:jc w:val="center"/>
              <w:rPr>
                <w:rFonts w:cs="宋体"/>
                <w:color w:val="auto"/>
                <w:kern w:val="0"/>
                <w:sz w:val="24"/>
                <w:highlight w:val="none"/>
                <w:lang w:bidi="ar-SA"/>
              </w:rPr>
            </w:pPr>
          </w:p>
        </w:tc>
        <w:tc>
          <w:tcPr>
            <w:tcW w:w="797" w:type="pct"/>
            <w:noWrap/>
            <w:vAlign w:val="center"/>
          </w:tcPr>
          <w:p>
            <w:pPr>
              <w:pStyle w:val="27"/>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5000" w:type="pct"/>
            <w:gridSpan w:val="5"/>
            <w:noWrap/>
            <w:vAlign w:val="center"/>
          </w:tcPr>
          <w:p>
            <w:pPr>
              <w:pStyle w:val="27"/>
              <w:shd w:val="clear" w:color="auto" w:fill="auto"/>
              <w:jc w:val="left"/>
              <w:rPr>
                <w:rFonts w:cs="宋体"/>
                <w:color w:val="auto"/>
                <w:kern w:val="0"/>
                <w:sz w:val="24"/>
                <w:highlight w:val="none"/>
                <w:lang w:bidi="ar-SA"/>
              </w:rPr>
            </w:pPr>
            <w:r>
              <w:rPr>
                <w:rFonts w:hint="eastAsia" w:cs="宋体"/>
                <w:b/>
                <w:color w:val="auto"/>
                <w:sz w:val="24"/>
                <w:highlight w:val="none"/>
                <w:lang w:bidi="ar-SA"/>
              </w:rPr>
              <w:t>总</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价 </w:t>
            </w:r>
            <w:r>
              <w:rPr>
                <w:rFonts w:hint="eastAsia" w:cs="宋体"/>
                <w:b/>
                <w:color w:val="auto"/>
                <w:sz w:val="24"/>
                <w:highlight w:val="none"/>
                <w:lang w:eastAsia="zh-CN" w:bidi="ar-SA"/>
              </w:rPr>
              <w:t>：</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(万</w:t>
            </w:r>
            <w:r>
              <w:rPr>
                <w:rFonts w:hint="eastAsia" w:cs="宋体"/>
                <w:b/>
                <w:color w:val="auto"/>
                <w:sz w:val="24"/>
                <w:highlight w:val="none"/>
                <w:lang w:val="en-US" w:eastAsia="zh-CN" w:bidi="ar-SA"/>
              </w:rPr>
              <w:t xml:space="preserve">  </w:t>
            </w:r>
            <w:r>
              <w:rPr>
                <w:rFonts w:hint="eastAsia" w:cs="宋体"/>
                <w:b/>
                <w:color w:val="auto"/>
                <w:sz w:val="24"/>
                <w:highlight w:val="none"/>
                <w:lang w:bidi="ar-SA"/>
              </w:rPr>
              <w:t>元) （大</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写：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p>
        </w:tc>
      </w:tr>
    </w:tbl>
    <w:p>
      <w:pPr>
        <w:shd w:val="clear" w:color="auto" w:fill="auto"/>
        <w:autoSpaceDE w:val="0"/>
        <w:autoSpaceDN w:val="0"/>
        <w:adjustRightInd w:val="0"/>
        <w:spacing w:line="200" w:lineRule="exact"/>
        <w:ind w:right="-22" w:firstLine="489"/>
        <w:jc w:val="left"/>
        <w:rPr>
          <w:rFonts w:hint="eastAsia" w:ascii="宋体" w:cs="宋体"/>
          <w:color w:val="auto"/>
          <w:kern w:val="0"/>
          <w:highlight w:val="none"/>
          <w:lang w:bidi="ar-SA"/>
        </w:rPr>
      </w:pPr>
    </w:p>
    <w:p>
      <w:pPr>
        <w:shd w:val="clear" w:color="auto" w:fill="auto"/>
        <w:autoSpaceDE w:val="0"/>
        <w:autoSpaceDN w:val="0"/>
        <w:adjustRightInd w:val="0"/>
        <w:spacing w:line="20" w:lineRule="exact"/>
        <w:ind w:right="-22" w:firstLine="489"/>
        <w:jc w:val="left"/>
        <w:rPr>
          <w:rFonts w:hint="eastAsia" w:ascii="宋体" w:cs="宋体"/>
          <w:color w:val="auto"/>
          <w:kern w:val="0"/>
          <w:highlight w:val="none"/>
          <w:lang w:bidi="ar-SA"/>
        </w:rPr>
      </w:pPr>
      <w:r>
        <w:rPr>
          <w:rFonts w:hint="eastAsia" w:ascii="宋体" w:cs="宋体"/>
          <w:color w:val="auto"/>
          <w:kern w:val="0"/>
          <w:highlight w:val="none"/>
          <w:lang w:bidi="ar-SA"/>
        </w:rPr>
        <w:t xml:space="preserve"> </w:t>
      </w:r>
    </w:p>
    <w:p>
      <w:pPr>
        <w:pStyle w:val="2"/>
        <w:widowControl/>
        <w:rPr>
          <w:color w:val="auto"/>
          <w:highlight w:val="none"/>
        </w:rPr>
      </w:pPr>
      <w:r>
        <w:rPr>
          <w:color w:val="auto"/>
          <w:highlight w:val="none"/>
        </w:rPr>
        <w:t>注：1.报价应是最终用户的总价，包括人员工资、管理、运输、保险、设备损耗、税费、耗材和磋商文件规定的其它费用。最终结算价根据发生量据实结算。</w:t>
      </w:r>
    </w:p>
    <w:p>
      <w:pPr>
        <w:pStyle w:val="2"/>
        <w:widowControl/>
        <w:rPr>
          <w:color w:val="auto"/>
          <w:highlight w:val="none"/>
        </w:rPr>
      </w:pPr>
      <w:r>
        <w:rPr>
          <w:color w:val="auto"/>
          <w:highlight w:val="none"/>
        </w:rPr>
        <w:t>2.“报价一览表（第一轮）”需由法定代表人或授权代表签字并盖磋商人印章。</w:t>
      </w:r>
    </w:p>
    <w:p>
      <w:pPr>
        <w:pStyle w:val="2"/>
        <w:widowControl/>
        <w:rPr>
          <w:color w:val="auto"/>
          <w:highlight w:val="none"/>
        </w:rPr>
      </w:pPr>
      <w:r>
        <w:rPr>
          <w:color w:val="auto"/>
          <w:highlight w:val="none"/>
        </w:rPr>
        <w:t>3.“报价一览表（第一轮）”报价合计应与“分项报价明细表”分项报价合计一致。</w:t>
      </w:r>
    </w:p>
    <w:p>
      <w:pPr>
        <w:shd w:val="clear" w:color="auto" w:fill="auto"/>
        <w:adjustRightInd w:val="0"/>
        <w:spacing w:line="500" w:lineRule="exact"/>
        <w:rPr>
          <w:rFonts w:hint="eastAsia" w:ascii="宋体"/>
          <w:color w:val="auto"/>
          <w:sz w:val="24"/>
          <w:highlight w:val="none"/>
        </w:rPr>
      </w:pPr>
    </w:p>
    <w:p>
      <w:pPr>
        <w:shd w:val="clear" w:color="auto" w:fill="auto"/>
        <w:spacing w:line="400" w:lineRule="exac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w:t>
      </w:r>
      <w:r>
        <w:rPr>
          <w:rFonts w:hint="eastAsia" w:ascii="Times New Roman" w:hAnsi="Times New Roman" w:eastAsia="宋体" w:cs="Times New Roman"/>
          <w:color w:val="auto"/>
          <w:sz w:val="24"/>
          <w:highlight w:val="none"/>
          <w:lang w:bidi="ar-SA"/>
        </w:rPr>
        <w:t>XXXX</w:t>
      </w:r>
      <w:r>
        <w:rPr>
          <w:rFonts w:hint="eastAsia" w:ascii="Times New Roman" w:hAnsi="Times New Roman" w:eastAsia="宋体" w:cs="Times New Roman"/>
          <w:color w:val="auto"/>
          <w:sz w:val="24"/>
          <w:highlight w:val="none"/>
        </w:rPr>
        <w:t>（盖单位公章）</w:t>
      </w:r>
    </w:p>
    <w:p>
      <w:pPr>
        <w:shd w:val="clear" w:color="auto" w:fill="auto"/>
        <w:spacing w:line="400" w:lineRule="exact"/>
        <w:rPr>
          <w:rFonts w:hint="eastAsia" w:ascii="Times New Roman" w:hAnsi="Times New Roman" w:eastAsia="宋体" w:cs="Times New Roman"/>
          <w:color w:val="auto"/>
          <w:sz w:val="24"/>
          <w:highlight w:val="none"/>
          <w:u w:val="single"/>
        </w:rPr>
      </w:pPr>
      <w:r>
        <w:rPr>
          <w:rFonts w:hint="eastAsia" w:ascii="Times New Roman" w:hAnsi="Times New Roman" w:eastAsia="宋体" w:cs="Times New Roman"/>
          <w:color w:val="auto"/>
          <w:sz w:val="24"/>
          <w:highlight w:val="none"/>
        </w:rPr>
        <w:t>法定代表人或授权代表（签字或盖章）：</w:t>
      </w:r>
      <w:r>
        <w:rPr>
          <w:rFonts w:hint="eastAsia" w:ascii="Times New Roman" w:hAnsi="Times New Roman" w:eastAsia="宋体" w:cs="Times New Roman"/>
          <w:color w:val="auto"/>
          <w:sz w:val="24"/>
          <w:highlight w:val="none"/>
          <w:lang w:bidi="ar-SA"/>
        </w:rPr>
        <w:t>XXXX</w:t>
      </w:r>
    </w:p>
    <w:p>
      <w:pPr>
        <w:shd w:val="clear" w:color="auto" w:fill="auto"/>
        <w:adjustRightInd w:val="0"/>
        <w:spacing w:line="400" w:lineRule="exact"/>
        <w:jc w:val="left"/>
        <w:rPr>
          <w:rFonts w:hint="eastAsia" w:ascii="Times New Roman" w:hAnsi="Times New Roman" w:eastAsia="宋体" w:cs="Times New Roman"/>
          <w:b/>
          <w:color w:val="auto"/>
          <w:sz w:val="24"/>
          <w:szCs w:val="32"/>
          <w:highlight w:val="none"/>
          <w:lang w:bidi="ar-SA"/>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lang w:bidi="ar-SA"/>
        </w:rPr>
        <w:t>XXX年XXX月XXX日</w:t>
      </w:r>
    </w:p>
    <w:p>
      <w:pPr>
        <w:pStyle w:val="2"/>
        <w:shd w:val="clear" w:color="auto" w:fill="auto"/>
        <w:rPr>
          <w:color w:val="auto"/>
          <w:highlight w:val="none"/>
        </w:rPr>
      </w:pPr>
    </w:p>
    <w:p>
      <w:pPr>
        <w:shd w:val="clear" w:color="auto" w:fill="auto"/>
        <w:adjustRightInd w:val="0"/>
        <w:spacing w:line="400" w:lineRule="exact"/>
        <w:ind w:firstLine="600" w:firstLineChars="250"/>
        <w:jc w:val="left"/>
        <w:rPr>
          <w:rFonts w:hint="eastAsia" w:ascii="宋体"/>
          <w:color w:val="auto"/>
          <w:sz w:val="24"/>
          <w:highlight w:val="none"/>
        </w:rPr>
      </w:pPr>
    </w:p>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p>
    <w:p>
      <w:pPr>
        <w:shd w:val="clear" w:color="auto" w:fill="auto"/>
        <w:jc w:val="center"/>
        <w:rPr>
          <w:rFonts w:hint="eastAsia" w:ascii="宋体" w:cs="宋体"/>
          <w:b/>
          <w:color w:val="auto"/>
          <w:sz w:val="32"/>
          <w:szCs w:val="32"/>
          <w:highlight w:val="none"/>
          <w:lang w:bidi="ar-SA"/>
        </w:rPr>
      </w:pPr>
    </w:p>
    <w:p>
      <w:pPr>
        <w:shd w:val="clear" w:color="auto" w:fill="auto"/>
        <w:jc w:val="center"/>
        <w:outlineLvl w:val="9"/>
        <w:rPr>
          <w:rStyle w:val="28"/>
          <w:rFonts w:hint="eastAsia" w:ascii="宋体" w:cs="宋体"/>
          <w:b/>
          <w:color w:val="auto"/>
          <w:sz w:val="32"/>
          <w:highlight w:val="none"/>
          <w:lang w:bidi="ar-SA"/>
        </w:rPr>
      </w:pPr>
    </w:p>
    <w:p>
      <w:pPr>
        <w:rPr>
          <w:highlight w:val="none"/>
        </w:rPr>
      </w:pPr>
      <w:r>
        <w:rPr>
          <w:highlight w:val="none"/>
        </w:rPr>
        <w:br w:type="page"/>
      </w:r>
    </w:p>
    <w:p>
      <w:pPr>
        <w:pStyle w:val="4"/>
        <w:widowControl/>
        <w:numPr>
          <w:ilvl w:val="0"/>
          <w:numId w:val="53"/>
        </w:numPr>
        <w:topLinePunct w:val="0"/>
        <w:ind w:left="0" w:leftChars="0" w:firstLine="0" w:firstLineChars="0"/>
        <w:rPr>
          <w:b/>
          <w:highlight w:val="none"/>
        </w:rPr>
      </w:pPr>
      <w:r>
        <w:rPr>
          <w:highlight w:val="none"/>
        </w:rPr>
        <w:t>中小企业声明函（若涉及）</w:t>
      </w:r>
    </w:p>
    <w:p>
      <w:pPr>
        <w:pStyle w:val="2"/>
        <w:shd w:val="clear" w:color="auto" w:fill="auto"/>
        <w:rPr>
          <w:rFonts w:hint="eastAsia" w:ascii="宋体" w:cs="宋体"/>
          <w:color w:val="auto"/>
          <w:highlight w:val="none"/>
          <w:lang w:bidi="ar-SA"/>
        </w:rPr>
      </w:pPr>
    </w:p>
    <w:p>
      <w:pPr>
        <w:pStyle w:val="2"/>
        <w:widowControl/>
        <w:rPr>
          <w:rStyle w:val="28"/>
          <w:color w:val="auto"/>
          <w:highlight w:val="none"/>
        </w:rPr>
      </w:pPr>
      <w:r>
        <w:rPr>
          <w:rStyle w:val="28"/>
          <w:color w:val="auto"/>
          <w:highlight w:val="none"/>
        </w:rPr>
        <w:t>本公司（联合体）郑重声明，根据《政府采购促进中小 企业发展管理办法》（财库﹝2020﹞46 号）的规定，本公司 （联合体）参加</w:t>
      </w:r>
      <w:r>
        <w:rPr>
          <w:rStyle w:val="28"/>
          <w:color w:val="auto"/>
          <w:highlight w:val="none"/>
          <w:u w:val="single"/>
        </w:rPr>
        <w:t>（单位名称）</w:t>
      </w:r>
      <w:r>
        <w:rPr>
          <w:rStyle w:val="28"/>
          <w:color w:val="auto"/>
          <w:highlight w:val="none"/>
        </w:rPr>
        <w:t>的</w:t>
      </w:r>
      <w:r>
        <w:rPr>
          <w:rStyle w:val="28"/>
          <w:color w:val="auto"/>
          <w:highlight w:val="none"/>
          <w:u w:val="single"/>
        </w:rPr>
        <w:t>（项目名称）</w:t>
      </w:r>
      <w:r>
        <w:rPr>
          <w:rStyle w:val="28"/>
          <w:color w:val="auto"/>
          <w:highlight w:val="none"/>
        </w:rPr>
        <w:t xml:space="preserve">采购活动，提供的货物全部由符合政策要求的中小企业制造。相关企业 （含联合体中的中小企业、签订分包意向协议的中小企业） 的具体情况如下： </w:t>
      </w:r>
    </w:p>
    <w:p>
      <w:pPr>
        <w:pStyle w:val="2"/>
        <w:widowControl/>
        <w:numPr>
          <w:ilvl w:val="0"/>
          <w:numId w:val="57"/>
        </w:numPr>
        <w:ind w:left="0" w:leftChars="0" w:firstLine="480" w:firstLineChars="0"/>
        <w:rPr>
          <w:rStyle w:val="28"/>
          <w:b w:val="0"/>
          <w:color w:val="auto"/>
          <w:highlight w:val="none"/>
        </w:rPr>
      </w:pPr>
      <w:r>
        <w:rPr>
          <w:rStyle w:val="28"/>
          <w:color w:val="auto"/>
          <w:highlight w:val="none"/>
          <w:u w:val="single"/>
        </w:rPr>
        <w:t xml:space="preserve">（标的名称） </w:t>
      </w:r>
      <w:r>
        <w:rPr>
          <w:rStyle w:val="28"/>
          <w:color w:val="auto"/>
          <w:highlight w:val="none"/>
        </w:rPr>
        <w:t>，属于</w:t>
      </w:r>
      <w:r>
        <w:rPr>
          <w:rStyle w:val="28"/>
          <w:color w:val="auto"/>
          <w:highlight w:val="none"/>
          <w:u w:val="single"/>
        </w:rPr>
        <w:t>（采购文件中明确的所属行业） 行业</w:t>
      </w:r>
      <w:r>
        <w:rPr>
          <w:rStyle w:val="28"/>
          <w:color w:val="auto"/>
          <w:highlight w:val="none"/>
        </w:rPr>
        <w:t>；制造商为（</w:t>
      </w:r>
      <w:r>
        <w:rPr>
          <w:rStyle w:val="28"/>
          <w:color w:val="auto"/>
          <w:highlight w:val="none"/>
          <w:u w:val="single"/>
        </w:rPr>
        <w:t>企业名称）</w:t>
      </w:r>
      <w:r>
        <w:rPr>
          <w:rStyle w:val="28"/>
          <w:color w:val="auto"/>
          <w:highlight w:val="none"/>
        </w:rPr>
        <w:t>，从业人员</w:t>
      </w:r>
      <w:r>
        <w:rPr>
          <w:rStyle w:val="28"/>
          <w:color w:val="auto"/>
          <w:highlight w:val="none"/>
          <w:u w:val="single"/>
        </w:rPr>
        <w:t xml:space="preserve">             </w:t>
      </w:r>
      <w:r>
        <w:rPr>
          <w:rStyle w:val="28"/>
          <w:color w:val="auto"/>
          <w:highlight w:val="none"/>
        </w:rPr>
        <w:t>人，营业收 入为 万元，资产总额为</w:t>
      </w:r>
      <w:r>
        <w:rPr>
          <w:rStyle w:val="28"/>
          <w:color w:val="auto"/>
          <w:highlight w:val="none"/>
          <w:u w:val="single"/>
        </w:rPr>
        <w:t xml:space="preserve">         </w:t>
      </w:r>
      <w:r>
        <w:rPr>
          <w:rStyle w:val="28"/>
          <w:color w:val="auto"/>
          <w:highlight w:val="none"/>
        </w:rPr>
        <w:t>万元 ，属于</w:t>
      </w:r>
      <w:r>
        <w:rPr>
          <w:rStyle w:val="28"/>
          <w:color w:val="auto"/>
          <w:highlight w:val="none"/>
          <w:u w:val="single"/>
        </w:rPr>
        <w:t>（中型企业、小 型企业、微型企业）</w:t>
      </w:r>
      <w:r>
        <w:rPr>
          <w:rStyle w:val="28"/>
          <w:color w:val="auto"/>
          <w:highlight w:val="none"/>
        </w:rPr>
        <w:t xml:space="preserve">； </w:t>
      </w:r>
    </w:p>
    <w:p>
      <w:pPr>
        <w:pStyle w:val="2"/>
        <w:widowControl/>
        <w:numPr>
          <w:ilvl w:val="0"/>
          <w:numId w:val="57"/>
        </w:numPr>
        <w:ind w:left="0" w:leftChars="0" w:firstLine="480" w:firstLineChars="0"/>
        <w:rPr>
          <w:rStyle w:val="28"/>
          <w:b w:val="0"/>
          <w:color w:val="auto"/>
          <w:highlight w:val="none"/>
        </w:rPr>
      </w:pPr>
      <w:r>
        <w:rPr>
          <w:rStyle w:val="28"/>
          <w:color w:val="auto"/>
          <w:highlight w:val="none"/>
          <w:u w:val="single"/>
        </w:rPr>
        <w:t>（标的名称）</w:t>
      </w:r>
      <w:r>
        <w:rPr>
          <w:rStyle w:val="28"/>
          <w:color w:val="auto"/>
          <w:highlight w:val="none"/>
        </w:rPr>
        <w:t xml:space="preserve"> ，属于</w:t>
      </w:r>
      <w:r>
        <w:rPr>
          <w:rStyle w:val="28"/>
          <w:color w:val="auto"/>
          <w:highlight w:val="none"/>
          <w:u w:val="single"/>
        </w:rPr>
        <w:t>（采购文件中明确的所属行业） 行业</w:t>
      </w:r>
      <w:r>
        <w:rPr>
          <w:rStyle w:val="28"/>
          <w:color w:val="auto"/>
          <w:highlight w:val="none"/>
        </w:rPr>
        <w:t>；制造商为</w:t>
      </w:r>
      <w:r>
        <w:rPr>
          <w:rStyle w:val="28"/>
          <w:color w:val="auto"/>
          <w:highlight w:val="none"/>
          <w:u w:val="single"/>
        </w:rPr>
        <w:t>（企业名称）</w:t>
      </w:r>
      <w:r>
        <w:rPr>
          <w:rStyle w:val="28"/>
          <w:color w:val="auto"/>
          <w:highlight w:val="none"/>
        </w:rPr>
        <w:t>，从业人员</w:t>
      </w:r>
      <w:r>
        <w:rPr>
          <w:rStyle w:val="28"/>
          <w:color w:val="auto"/>
          <w:highlight w:val="none"/>
          <w:u w:val="single"/>
        </w:rPr>
        <w:t xml:space="preserve">           </w:t>
      </w:r>
      <w:r>
        <w:rPr>
          <w:rStyle w:val="28"/>
          <w:color w:val="auto"/>
          <w:highlight w:val="none"/>
        </w:rPr>
        <w:t>人，营业收入 为</w:t>
      </w:r>
      <w:r>
        <w:rPr>
          <w:rStyle w:val="28"/>
          <w:color w:val="auto"/>
          <w:highlight w:val="none"/>
          <w:u w:val="single"/>
        </w:rPr>
        <w:t xml:space="preserve">          </w:t>
      </w:r>
      <w:r>
        <w:rPr>
          <w:rStyle w:val="28"/>
          <w:color w:val="auto"/>
          <w:highlight w:val="none"/>
        </w:rPr>
        <w:t>万元，资产总额为</w:t>
      </w:r>
      <w:r>
        <w:rPr>
          <w:rStyle w:val="28"/>
          <w:color w:val="auto"/>
          <w:highlight w:val="none"/>
          <w:u w:val="single"/>
        </w:rPr>
        <w:t xml:space="preserve">        </w:t>
      </w:r>
      <w:r>
        <w:rPr>
          <w:rStyle w:val="28"/>
          <w:color w:val="auto"/>
          <w:highlight w:val="none"/>
        </w:rPr>
        <w:t>万元，属于</w:t>
      </w:r>
      <w:r>
        <w:rPr>
          <w:rStyle w:val="28"/>
          <w:color w:val="auto"/>
          <w:highlight w:val="none"/>
          <w:u w:val="single"/>
        </w:rPr>
        <w:t>（中型企业、小型 企业、微型企业）</w:t>
      </w:r>
      <w:r>
        <w:rPr>
          <w:rStyle w:val="28"/>
          <w:color w:val="auto"/>
          <w:highlight w:val="none"/>
        </w:rPr>
        <w:t xml:space="preserve">； </w:t>
      </w:r>
    </w:p>
    <w:p>
      <w:pPr>
        <w:pStyle w:val="2"/>
        <w:widowControl/>
        <w:rPr>
          <w:rStyle w:val="28"/>
          <w:color w:val="auto"/>
          <w:highlight w:val="none"/>
        </w:rPr>
      </w:pPr>
      <w:r>
        <w:rPr>
          <w:rStyle w:val="28"/>
          <w:color w:val="auto"/>
          <w:highlight w:val="none"/>
        </w:rPr>
        <w:t>……</w:t>
      </w:r>
    </w:p>
    <w:p>
      <w:pPr>
        <w:pStyle w:val="2"/>
        <w:widowControl/>
        <w:rPr>
          <w:rStyle w:val="28"/>
          <w:color w:val="auto"/>
          <w:highlight w:val="none"/>
        </w:rPr>
      </w:pPr>
      <w:r>
        <w:rPr>
          <w:rStyle w:val="28"/>
          <w:color w:val="auto"/>
          <w:highlight w:val="none"/>
        </w:rPr>
        <w:t xml:space="preserve">以上企业，不属于大企业的分支机构，不存在控股股东 为大企业的情形，也不存在与大企业的负责人为同一人的情形。 </w:t>
      </w:r>
    </w:p>
    <w:p>
      <w:pPr>
        <w:pStyle w:val="2"/>
        <w:widowControl/>
        <w:rPr>
          <w:rStyle w:val="28"/>
          <w:color w:val="auto"/>
          <w:highlight w:val="none"/>
        </w:rPr>
      </w:pPr>
      <w:r>
        <w:rPr>
          <w:rStyle w:val="28"/>
          <w:color w:val="auto"/>
          <w:highlight w:val="none"/>
        </w:rPr>
        <w:t>本企业对上述声明内容的真实性负责。如有虚假，将依 法承担相应责任。</w:t>
      </w:r>
    </w:p>
    <w:p>
      <w:pPr>
        <w:pStyle w:val="2"/>
        <w:widowControl/>
        <w:rPr>
          <w:rStyle w:val="28"/>
          <w:b/>
          <w:color w:val="auto"/>
          <w:highlight w:val="none"/>
        </w:rPr>
      </w:pPr>
      <w:r>
        <w:rPr>
          <w:rStyle w:val="28"/>
          <w:b/>
          <w:color w:val="auto"/>
          <w:highlight w:val="none"/>
        </w:rPr>
        <w:t>注：1.此声明函由各投标人根据自身实际情况选择性提供。</w:t>
      </w:r>
    </w:p>
    <w:p>
      <w:pPr>
        <w:pStyle w:val="2"/>
        <w:widowControl/>
        <w:rPr>
          <w:rStyle w:val="28"/>
          <w:b/>
          <w:color w:val="auto"/>
          <w:highlight w:val="none"/>
        </w:rPr>
      </w:pPr>
      <w:r>
        <w:rPr>
          <w:rStyle w:val="28"/>
          <w:b/>
          <w:color w:val="auto"/>
          <w:highlight w:val="none"/>
        </w:rPr>
        <w:t>2.从业人员、营业收入、资产总额填报上一年度数据，无上一年度数据的新成立企业可不填报。</w:t>
      </w:r>
    </w:p>
    <w:p>
      <w:pPr>
        <w:pStyle w:val="2"/>
        <w:widowControl/>
        <w:rPr>
          <w:rStyle w:val="28"/>
          <w:b/>
          <w:color w:val="auto"/>
          <w:highlight w:val="none"/>
        </w:rPr>
      </w:pPr>
      <w:r>
        <w:rPr>
          <w:rStyle w:val="28"/>
          <w:b/>
          <w:color w:val="auto"/>
          <w:highlight w:val="none"/>
        </w:rPr>
        <w:t>3.如未提供中小企业声明函的，则其评审中的小型、微型企业不能享受磋商文件规定的价格扣除，但不影响投标文件的有效性。</w:t>
      </w:r>
    </w:p>
    <w:p>
      <w:pPr>
        <w:pStyle w:val="2"/>
        <w:widowControl/>
        <w:rPr>
          <w:rStyle w:val="28"/>
          <w:b/>
          <w:color w:val="auto"/>
          <w:highlight w:val="none"/>
        </w:rPr>
      </w:pPr>
      <w:r>
        <w:rPr>
          <w:rStyle w:val="28"/>
          <w:b/>
          <w:color w:val="auto"/>
          <w:highlight w:val="none"/>
        </w:rPr>
        <w:t>4.如投标人以及投标人提供货物的供应商家不属于中型、小型、微型企业的可不填写或不提供此声明函。</w:t>
      </w:r>
    </w:p>
    <w:p>
      <w:pPr>
        <w:pStyle w:val="2"/>
        <w:widowControl/>
        <w:rPr>
          <w:rStyle w:val="28"/>
          <w:b/>
          <w:color w:val="auto"/>
          <w:highlight w:val="none"/>
        </w:rPr>
      </w:pPr>
      <w:r>
        <w:rPr>
          <w:rStyle w:val="28"/>
          <w:b/>
          <w:color w:val="auto"/>
          <w:highlight w:val="none"/>
        </w:rPr>
        <w:t>5.投标人为非企业单位的，如民办非企业、基金会、协会、服务中心、农村承包经营户、学会等非工商(市场监管)登记注册的组织均不适用此声明函，可不填写或不提供此声明函，不影响投标文件的有效性。</w:t>
      </w:r>
    </w:p>
    <w:p>
      <w:pPr>
        <w:shd w:val="clear" w:color="auto" w:fill="auto"/>
        <w:spacing w:line="360" w:lineRule="auto"/>
        <w:jc w:val="center"/>
        <w:rPr>
          <w:rStyle w:val="28"/>
          <w:rFonts w:hint="eastAsia" w:ascii="Times New Roman" w:hAnsi="Times New Roman" w:eastAsia="宋体" w:cs="Times New Roman"/>
          <w:color w:val="auto"/>
          <w:spacing w:val="6"/>
          <w:sz w:val="24"/>
          <w:szCs w:val="22"/>
          <w:highlight w:val="none"/>
        </w:rPr>
      </w:pPr>
      <w:r>
        <w:rPr>
          <w:rStyle w:val="28"/>
          <w:rFonts w:hint="eastAsia" w:ascii="Times New Roman" w:hAnsi="Times New Roman" w:eastAsia="宋体" w:cs="Times New Roman"/>
          <w:color w:val="auto"/>
          <w:spacing w:val="6"/>
          <w:sz w:val="24"/>
          <w:szCs w:val="22"/>
          <w:highlight w:val="none"/>
        </w:rPr>
        <w:t xml:space="preserve">                 企业名称（盖章）：</w:t>
      </w:r>
      <w:r>
        <w:rPr>
          <w:rStyle w:val="28"/>
          <w:rFonts w:hint="eastAsia" w:ascii="Times New Roman" w:hAnsi="Times New Roman" w:eastAsia="宋体" w:cs="Times New Roman"/>
          <w:color w:val="auto"/>
          <w:sz w:val="24"/>
          <w:highlight w:val="none"/>
          <w:lang w:bidi="ar-SA"/>
        </w:rPr>
        <w:t>XXXX</w:t>
      </w:r>
      <w:r>
        <w:rPr>
          <w:rStyle w:val="28"/>
          <w:rFonts w:hint="eastAsia" w:ascii="Times New Roman" w:hAnsi="Times New Roman" w:eastAsia="宋体" w:cs="Times New Roman"/>
          <w:color w:val="auto"/>
          <w:spacing w:val="6"/>
          <w:sz w:val="24"/>
          <w:szCs w:val="22"/>
          <w:highlight w:val="none"/>
        </w:rPr>
        <w:t xml:space="preserve">       </w:t>
      </w:r>
    </w:p>
    <w:p>
      <w:pPr>
        <w:shd w:val="clear" w:color="auto" w:fill="auto"/>
        <w:spacing w:line="360" w:lineRule="auto"/>
        <w:jc w:val="center"/>
        <w:rPr>
          <w:rStyle w:val="28"/>
          <w:rFonts w:hint="eastAsia" w:ascii="Times New Roman" w:hAnsi="Times New Roman" w:eastAsia="宋体" w:cs="Times New Roman"/>
          <w:color w:val="auto"/>
          <w:spacing w:val="6"/>
          <w:sz w:val="24"/>
          <w:szCs w:val="22"/>
          <w:highlight w:val="none"/>
        </w:rPr>
      </w:pPr>
      <w:r>
        <w:rPr>
          <w:rStyle w:val="28"/>
          <w:rFonts w:hint="eastAsia" w:ascii="Times New Roman" w:hAnsi="Times New Roman" w:eastAsia="宋体" w:cs="Times New Roman"/>
          <w:color w:val="auto"/>
          <w:spacing w:val="6"/>
          <w:sz w:val="24"/>
          <w:szCs w:val="22"/>
          <w:highlight w:val="none"/>
        </w:rPr>
        <w:t xml:space="preserve">       日 期：</w:t>
      </w:r>
      <w:r>
        <w:rPr>
          <w:rStyle w:val="28"/>
          <w:rFonts w:hint="eastAsia" w:ascii="Times New Roman" w:hAnsi="Times New Roman" w:eastAsia="宋体" w:cs="Times New Roman"/>
          <w:color w:val="auto"/>
          <w:sz w:val="24"/>
          <w:highlight w:val="none"/>
          <w:lang w:bidi="ar-SA"/>
        </w:rPr>
        <w:t>XXXX</w:t>
      </w:r>
    </w:p>
    <w:p>
      <w:pPr>
        <w:shd w:val="clear" w:color="auto" w:fill="auto"/>
        <w:spacing w:line="360" w:lineRule="auto"/>
        <w:rPr>
          <w:rFonts w:hint="eastAsia"/>
          <w:color w:val="auto"/>
          <w:highlight w:val="none"/>
        </w:rPr>
        <w:sectPr>
          <w:pgSz w:w="11906" w:h="16838"/>
          <w:pgMar w:top="1417" w:right="1417" w:bottom="1417" w:left="1417" w:header="851" w:footer="992" w:gutter="0"/>
          <w:cols w:space="0" w:num="1"/>
          <w:rtlGutter w:val="0"/>
          <w:docGrid w:type="lines" w:linePitch="312" w:charSpace="0"/>
        </w:sectPr>
      </w:pPr>
    </w:p>
    <w:bookmarkEnd w:id="84"/>
    <w:bookmarkEnd w:id="85"/>
    <w:p>
      <w:pPr>
        <w:pStyle w:val="4"/>
        <w:widowControl/>
        <w:numPr>
          <w:ilvl w:val="0"/>
          <w:numId w:val="53"/>
        </w:numPr>
        <w:topLinePunct w:val="0"/>
        <w:ind w:left="0" w:leftChars="0" w:firstLine="0" w:firstLineChars="0"/>
        <w:rPr>
          <w:b/>
          <w:highlight w:val="none"/>
        </w:rPr>
      </w:pPr>
      <w:r>
        <w:rPr>
          <w:highlight w:val="none"/>
        </w:rPr>
        <w:t>残疾人福利性单位声明函</w:t>
      </w:r>
    </w:p>
    <w:p>
      <w:pPr>
        <w:shd w:val="clear" w:color="auto" w:fill="auto"/>
        <w:spacing w:line="588" w:lineRule="exact"/>
        <w:rPr>
          <w:rFonts w:hint="eastAsia" w:ascii="宋体" w:cs="宋体"/>
          <w:b/>
          <w:color w:val="auto"/>
          <w:spacing w:val="6"/>
          <w:sz w:val="30"/>
          <w:szCs w:val="30"/>
          <w:highlight w:val="none"/>
          <w:lang w:bidi="ar-SA"/>
        </w:rPr>
      </w:pPr>
    </w:p>
    <w:p>
      <w:pPr>
        <w:pStyle w:val="2"/>
        <w:widowControl/>
        <w:rPr>
          <w:color w:val="auto"/>
          <w:highlight w:val="none"/>
        </w:rPr>
      </w:pPr>
      <w:r>
        <w:rPr>
          <w:color w:val="auto"/>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
        <w:widowControl/>
        <w:rPr>
          <w:color w:val="auto"/>
          <w:highlight w:val="none"/>
        </w:rPr>
      </w:pPr>
      <w:r>
        <w:rPr>
          <w:color w:val="auto"/>
          <w:highlight w:val="none"/>
        </w:rPr>
        <w:t>本单位对上述声明的真实性负责。如有虚假，将依法承担相应责任。</w:t>
      </w:r>
    </w:p>
    <w:p>
      <w:pPr>
        <w:pStyle w:val="2"/>
        <w:shd w:val="clear" w:color="auto" w:fill="auto"/>
        <w:rPr>
          <w:color w:val="auto"/>
          <w:highlight w:val="none"/>
        </w:rPr>
      </w:pPr>
    </w:p>
    <w:p>
      <w:pPr>
        <w:shd w:val="clear" w:color="auto" w:fill="auto"/>
        <w:spacing w:line="400" w:lineRule="exact"/>
        <w:ind w:firstLine="470" w:firstLineChars="196"/>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单位名称：XXXX（盖单位公章）</w:t>
      </w:r>
    </w:p>
    <w:p>
      <w:pPr>
        <w:shd w:val="clear" w:color="auto" w:fill="auto"/>
        <w:spacing w:line="400" w:lineRule="exact"/>
        <w:ind w:firstLine="470" w:firstLineChars="196"/>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法定代表人或授权代表（签字）：XXXX</w:t>
      </w:r>
    </w:p>
    <w:p>
      <w:pPr>
        <w:shd w:val="clear" w:color="auto" w:fill="auto"/>
        <w:adjustRightInd w:val="0"/>
        <w:spacing w:line="400" w:lineRule="exact"/>
        <w:ind w:firstLine="480" w:firstLineChars="200"/>
        <w:jc w:val="left"/>
        <w:rPr>
          <w:rFonts w:hint="eastAsia" w:ascii="Times New Roman" w:hAnsi="Times New Roman" w:eastAsia="宋体" w:cs="Times New Roman"/>
          <w:b/>
          <w:color w:val="auto"/>
          <w:sz w:val="24"/>
          <w:szCs w:val="32"/>
          <w:highlight w:val="none"/>
          <w:lang w:bidi="ar-SA"/>
        </w:rPr>
      </w:pPr>
      <w:r>
        <w:rPr>
          <w:rFonts w:hint="eastAsia" w:ascii="Times New Roman" w:hAnsi="Times New Roman" w:eastAsia="宋体" w:cs="Times New Roman"/>
          <w:color w:val="auto"/>
          <w:sz w:val="24"/>
          <w:highlight w:val="none"/>
          <w:lang w:bidi="ar-SA"/>
        </w:rPr>
        <w:t>日期：XXX年XXX月XXX日</w:t>
      </w:r>
    </w:p>
    <w:p>
      <w:pPr>
        <w:shd w:val="clear" w:color="auto" w:fill="auto"/>
        <w:spacing w:line="400" w:lineRule="exact"/>
        <w:ind w:firstLine="470" w:firstLineChars="196"/>
        <w:rPr>
          <w:rFonts w:hint="eastAsia" w:ascii="宋体" w:cs="宋体"/>
          <w:color w:val="auto"/>
          <w:sz w:val="24"/>
          <w:highlight w:val="none"/>
          <w:lang w:bidi="ar-SA"/>
        </w:rPr>
      </w:pPr>
    </w:p>
    <w:p>
      <w:pPr>
        <w:shd w:val="clear" w:color="auto" w:fill="auto"/>
        <w:jc w:val="center"/>
        <w:rPr>
          <w:rFonts w:hint="eastAsia" w:ascii="宋体" w:cs="宋体"/>
          <w:b/>
          <w:color w:val="auto"/>
          <w:sz w:val="32"/>
          <w:szCs w:val="32"/>
          <w:highlight w:val="none"/>
          <w:lang w:bidi="ar-SA"/>
        </w:rPr>
        <w:sectPr>
          <w:pgSz w:w="11906" w:h="16838"/>
          <w:pgMar w:top="1417" w:right="1417" w:bottom="1417" w:left="1417" w:header="851" w:footer="992" w:gutter="0"/>
          <w:cols w:space="0" w:num="1"/>
          <w:rtlGutter w:val="0"/>
          <w:docGrid w:type="lines" w:linePitch="312" w:charSpace="0"/>
        </w:sectPr>
      </w:pPr>
    </w:p>
    <w:p>
      <w:pPr>
        <w:pStyle w:val="4"/>
        <w:widowControl/>
        <w:numPr>
          <w:ilvl w:val="0"/>
          <w:numId w:val="53"/>
        </w:numPr>
        <w:topLinePunct w:val="0"/>
        <w:ind w:left="0" w:leftChars="0" w:firstLine="0" w:firstLineChars="0"/>
        <w:rPr>
          <w:b/>
          <w:highlight w:val="none"/>
        </w:rPr>
      </w:pPr>
      <w:r>
        <w:rPr>
          <w:highlight w:val="none"/>
        </w:rPr>
        <w:t>商务应答表</w:t>
      </w:r>
    </w:p>
    <w:p>
      <w:pPr>
        <w:shd w:val="clear" w:color="auto" w:fill="auto"/>
        <w:ind w:firstLine="480" w:firstLineChars="200"/>
        <w:rPr>
          <w:rFonts w:hint="eastAsia" w:ascii="宋体" w:cs="宋体"/>
          <w:b/>
          <w:color w:val="auto"/>
          <w:sz w:val="24"/>
          <w:highlight w:val="none"/>
          <w:lang w:bidi="ar-SA"/>
        </w:rPr>
      </w:pPr>
    </w:p>
    <w:tbl>
      <w:tblPr>
        <w:tblStyle w:val="20"/>
        <w:tblpPr w:leftFromText="180" w:rightFromText="180" w:vertAnchor="text" w:horzAnchor="page" w:tblpXSpec="center" w:tblpY="240"/>
        <w:tblOverlap w:val="never"/>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160"/>
        <w:gridCol w:w="331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1"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序号</w:t>
            </w:r>
          </w:p>
        </w:tc>
        <w:tc>
          <w:tcPr>
            <w:tcW w:w="3160"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磋商文件商务条款</w:t>
            </w:r>
          </w:p>
        </w:tc>
        <w:tc>
          <w:tcPr>
            <w:tcW w:w="3315"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磋商响应文件商务条款</w:t>
            </w:r>
          </w:p>
        </w:tc>
        <w:tc>
          <w:tcPr>
            <w:tcW w:w="1869" w:type="dxa"/>
            <w:noWrap w:val="0"/>
            <w:vAlign w:val="center"/>
          </w:tcPr>
          <w:p>
            <w:pPr>
              <w:shd w:val="clear" w:color="auto" w:fill="auto"/>
              <w:jc w:val="center"/>
              <w:rPr>
                <w:rFonts w:hint="eastAsia" w:ascii="宋体" w:cs="宋体"/>
                <w:color w:val="auto"/>
                <w:sz w:val="24"/>
                <w:highlight w:val="none"/>
                <w:lang w:bidi="ar-SA"/>
              </w:rPr>
            </w:pPr>
            <w:r>
              <w:rPr>
                <w:rFonts w:hint="eastAsia" w:ascii="宋体" w:cs="宋体"/>
                <w:color w:val="auto"/>
                <w:sz w:val="24"/>
                <w:highlight w:val="none"/>
                <w:lang w:bidi="ar-SA"/>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1869"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1869"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1869" w:type="dxa"/>
            <w:noWrap w:val="0"/>
            <w:vAlign w:val="top"/>
          </w:tcPr>
          <w:p>
            <w:pPr>
              <w:shd w:val="clear" w:color="auto" w:fill="auto"/>
              <w:jc w:val="center"/>
              <w:rPr>
                <w:rFonts w:hint="eastAsia" w:ascii="宋体" w:cs="宋体"/>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61" w:type="dxa"/>
            <w:noWrap w:val="0"/>
            <w:vAlign w:val="top"/>
          </w:tcPr>
          <w:p>
            <w:pPr>
              <w:shd w:val="clear" w:color="auto" w:fill="auto"/>
              <w:jc w:val="center"/>
              <w:rPr>
                <w:rFonts w:hint="eastAsia" w:ascii="宋体" w:cs="宋体"/>
                <w:color w:val="auto"/>
                <w:sz w:val="24"/>
                <w:highlight w:val="none"/>
                <w:lang w:bidi="ar-SA"/>
              </w:rPr>
            </w:pPr>
          </w:p>
        </w:tc>
        <w:tc>
          <w:tcPr>
            <w:tcW w:w="3160" w:type="dxa"/>
            <w:noWrap w:val="0"/>
            <w:vAlign w:val="top"/>
          </w:tcPr>
          <w:p>
            <w:pPr>
              <w:shd w:val="clear" w:color="auto" w:fill="auto"/>
              <w:jc w:val="center"/>
              <w:rPr>
                <w:rFonts w:hint="eastAsia" w:ascii="宋体" w:cs="宋体"/>
                <w:color w:val="auto"/>
                <w:sz w:val="24"/>
                <w:highlight w:val="none"/>
                <w:lang w:bidi="ar-SA"/>
              </w:rPr>
            </w:pPr>
          </w:p>
        </w:tc>
        <w:tc>
          <w:tcPr>
            <w:tcW w:w="3315" w:type="dxa"/>
            <w:noWrap w:val="0"/>
            <w:vAlign w:val="top"/>
          </w:tcPr>
          <w:p>
            <w:pPr>
              <w:shd w:val="clear" w:color="auto" w:fill="auto"/>
              <w:jc w:val="center"/>
              <w:rPr>
                <w:rFonts w:hint="eastAsia" w:ascii="宋体" w:cs="宋体"/>
                <w:color w:val="auto"/>
                <w:sz w:val="24"/>
                <w:highlight w:val="none"/>
                <w:lang w:bidi="ar-SA"/>
              </w:rPr>
            </w:pPr>
          </w:p>
        </w:tc>
        <w:tc>
          <w:tcPr>
            <w:tcW w:w="1869" w:type="dxa"/>
            <w:noWrap w:val="0"/>
            <w:vAlign w:val="top"/>
          </w:tcPr>
          <w:p>
            <w:pPr>
              <w:shd w:val="clear" w:color="auto" w:fill="auto"/>
              <w:jc w:val="center"/>
              <w:rPr>
                <w:rFonts w:hint="eastAsia" w:ascii="宋体" w:cs="宋体"/>
                <w:color w:val="auto"/>
                <w:sz w:val="24"/>
                <w:highlight w:val="none"/>
                <w:lang w:bidi="ar-SA"/>
              </w:rPr>
            </w:pPr>
          </w:p>
        </w:tc>
      </w:tr>
    </w:tbl>
    <w:p>
      <w:pPr>
        <w:shd w:val="clear" w:color="auto" w:fill="auto"/>
        <w:spacing w:line="400" w:lineRule="exact"/>
        <w:rPr>
          <w:rFonts w:hint="eastAsia" w:ascii="宋体" w:cs="宋体"/>
          <w:color w:val="auto"/>
          <w:sz w:val="24"/>
          <w:highlight w:val="none"/>
          <w:lang w:bidi="ar-SA"/>
        </w:rPr>
      </w:pPr>
    </w:p>
    <w:p>
      <w:pPr>
        <w:shd w:val="clear" w:color="auto" w:fill="auto"/>
        <w:spacing w:line="400" w:lineRule="exact"/>
        <w:rPr>
          <w:rFonts w:hint="eastAsia" w:ascii="宋体" w:cs="宋体"/>
          <w:color w:val="auto"/>
          <w:sz w:val="24"/>
          <w:highlight w:val="none"/>
          <w:lang w:bidi="ar-SA"/>
        </w:rPr>
      </w:pPr>
    </w:p>
    <w:p>
      <w:pPr>
        <w:pStyle w:val="2"/>
        <w:widowControl/>
        <w:rPr>
          <w:color w:val="auto"/>
          <w:highlight w:val="none"/>
        </w:rPr>
      </w:pPr>
      <w:r>
        <w:rPr>
          <w:color w:val="auto"/>
          <w:highlight w:val="none"/>
        </w:rPr>
        <w:t>注：供应商必须据实填写，不得虚假响应，虚假响应的，其响应文件无效并按照规定追究其相关责任。</w:t>
      </w:r>
    </w:p>
    <w:p>
      <w:pPr>
        <w:shd w:val="clear" w:color="auto" w:fill="auto"/>
        <w:spacing w:line="400" w:lineRule="exact"/>
        <w:ind w:firstLine="470" w:firstLineChars="196"/>
        <w:rPr>
          <w:rFonts w:hint="eastAsia" w:ascii="宋体" w:cs="宋体"/>
          <w:color w:val="auto"/>
          <w:sz w:val="24"/>
          <w:highlight w:val="none"/>
          <w:lang w:bidi="ar-SA"/>
        </w:rPr>
      </w:pPr>
    </w:p>
    <w:p>
      <w:pPr>
        <w:shd w:val="clear" w:color="auto" w:fill="auto"/>
        <w:spacing w:line="400" w:lineRule="exact"/>
        <w:ind w:firstLine="470" w:firstLineChars="196"/>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供应商名称：XXX（盖单位公章）</w:t>
      </w:r>
    </w:p>
    <w:p>
      <w:pPr>
        <w:shd w:val="clear" w:color="auto" w:fill="auto"/>
        <w:spacing w:line="400" w:lineRule="exact"/>
        <w:ind w:firstLine="470" w:firstLineChars="196"/>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法定代表人或授权代表（签字或盖章）：XXX</w:t>
      </w:r>
    </w:p>
    <w:p>
      <w:pPr>
        <w:shd w:val="clear" w:color="auto" w:fill="auto"/>
        <w:spacing w:line="400" w:lineRule="exact"/>
        <w:ind w:firstLine="470" w:firstLineChars="196"/>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lang w:bidi="ar-SA"/>
        </w:rPr>
        <w:t>日期：XXX年XXX月XXX日</w:t>
      </w:r>
    </w:p>
    <w:p>
      <w:pPr>
        <w:shd w:val="clear" w:color="auto" w:fill="auto"/>
        <w:jc w:val="center"/>
        <w:rPr>
          <w:b/>
          <w:color w:val="auto"/>
          <w:sz w:val="32"/>
          <w:szCs w:val="32"/>
          <w:highlight w:val="none"/>
        </w:rPr>
        <w:sectPr>
          <w:pgSz w:w="11906" w:h="16838"/>
          <w:pgMar w:top="1417" w:right="1417" w:bottom="1417" w:left="1417" w:header="851" w:footer="992" w:gutter="0"/>
          <w:cols w:space="0" w:num="1"/>
          <w:rtlGutter w:val="0"/>
          <w:docGrid w:type="lines" w:linePitch="312" w:charSpace="0"/>
        </w:sectPr>
      </w:pPr>
    </w:p>
    <w:p>
      <w:pPr>
        <w:pStyle w:val="4"/>
        <w:widowControl/>
        <w:numPr>
          <w:ilvl w:val="0"/>
          <w:numId w:val="53"/>
        </w:numPr>
        <w:topLinePunct w:val="0"/>
        <w:ind w:left="0" w:leftChars="0" w:firstLine="0" w:firstLineChars="0"/>
        <w:rPr>
          <w:b/>
          <w:highlight w:val="none"/>
        </w:rPr>
      </w:pPr>
      <w:r>
        <w:rPr>
          <w:highlight w:val="none"/>
        </w:rPr>
        <w:t>供应商本项目管理、技术、服务人员情况表</w:t>
      </w:r>
    </w:p>
    <w:p>
      <w:pPr>
        <w:shd w:val="clear" w:color="auto" w:fill="auto"/>
        <w:rPr>
          <w:color w:val="auto"/>
          <w:sz w:val="32"/>
          <w:szCs w:val="32"/>
          <w:highlight w:val="none"/>
        </w:rPr>
      </w:pPr>
    </w:p>
    <w:p>
      <w:pPr>
        <w:pStyle w:val="2"/>
        <w:widowControl/>
        <w:rPr>
          <w:color w:val="auto"/>
          <w:highlight w:val="none"/>
        </w:rPr>
      </w:pPr>
      <w:r>
        <w:rPr>
          <w:color w:val="auto"/>
          <w:highlight w:val="none"/>
        </w:rPr>
        <w:t>项目编号：XXX</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类别</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职务</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姓名</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职称</w:t>
            </w:r>
          </w:p>
        </w:tc>
        <w:tc>
          <w:tcPr>
            <w:tcW w:w="947"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常住地</w:t>
            </w:r>
          </w:p>
        </w:tc>
        <w:tc>
          <w:tcPr>
            <w:tcW w:w="3788" w:type="dxa"/>
            <w:gridSpan w:val="4"/>
            <w:noWrap w:val="0"/>
            <w:vAlign w:val="center"/>
          </w:tcPr>
          <w:p>
            <w:pPr>
              <w:shd w:val="clear" w:color="auto" w:fill="auto"/>
              <w:spacing w:line="360" w:lineRule="auto"/>
              <w:jc w:val="center"/>
              <w:rPr>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vMerge w:val="continue"/>
            <w:noWrap w:val="0"/>
            <w:vAlign w:val="center"/>
          </w:tcP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证书</w:t>
            </w:r>
          </w:p>
          <w:p>
            <w:pPr>
              <w:shd w:val="clear" w:color="auto" w:fill="auto"/>
              <w:spacing w:line="360" w:lineRule="auto"/>
              <w:jc w:val="center"/>
              <w:rPr>
                <w:color w:val="auto"/>
                <w:sz w:val="24"/>
                <w:highlight w:val="none"/>
              </w:rPr>
            </w:pPr>
            <w:r>
              <w:rPr>
                <w:rFonts w:hint="eastAsia"/>
                <w:color w:val="auto"/>
                <w:sz w:val="24"/>
                <w:highlight w:val="none"/>
              </w:rPr>
              <w:t>名称</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级别</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证号</w:t>
            </w:r>
          </w:p>
        </w:tc>
        <w:tc>
          <w:tcPr>
            <w:tcW w:w="947" w:type="dxa"/>
            <w:noWrap w:val="0"/>
            <w:vAlign w:val="center"/>
          </w:tcPr>
          <w:p>
            <w:pPr>
              <w:shd w:val="clear" w:color="auto" w:fill="auto"/>
              <w:spacing w:line="360" w:lineRule="auto"/>
              <w:jc w:val="center"/>
              <w:rPr>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管理</w:t>
            </w:r>
          </w:p>
          <w:p>
            <w:pPr>
              <w:shd w:val="clear" w:color="auto" w:fill="auto"/>
              <w:spacing w:line="360" w:lineRule="auto"/>
              <w:jc w:val="center"/>
              <w:rPr>
                <w:color w:val="auto"/>
                <w:sz w:val="24"/>
                <w:highlight w:val="none"/>
              </w:rPr>
            </w:pPr>
            <w:r>
              <w:rPr>
                <w:rFonts w:hint="eastAsia"/>
                <w:color w:val="auto"/>
                <w:sz w:val="24"/>
                <w:highlight w:val="none"/>
              </w:rPr>
              <w:t>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技术</w:t>
            </w:r>
          </w:p>
          <w:p>
            <w:pPr>
              <w:shd w:val="clear" w:color="auto" w:fill="auto"/>
              <w:spacing w:line="360" w:lineRule="auto"/>
              <w:jc w:val="center"/>
              <w:rPr>
                <w:color w:val="auto"/>
                <w:sz w:val="24"/>
                <w:highlight w:val="none"/>
              </w:rPr>
            </w:pPr>
            <w:r>
              <w:rPr>
                <w:rFonts w:hint="eastAsia"/>
                <w:color w:val="auto"/>
                <w:sz w:val="24"/>
                <w:highlight w:val="none"/>
              </w:rPr>
              <w:t>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noWrap w:val="0"/>
            <w:vAlign w:val="center"/>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noWrap w:val="0"/>
            <w:vAlign w:val="center"/>
          </w:tcPr>
          <w:p>
            <w:pPr>
              <w:shd w:val="clear" w:color="auto" w:fill="auto"/>
              <w:spacing w:line="360" w:lineRule="auto"/>
              <w:jc w:val="center"/>
              <w:rPr>
                <w:color w:val="auto"/>
                <w:sz w:val="24"/>
                <w:highlight w:val="none"/>
              </w:rPr>
            </w:pPr>
            <w:r>
              <w:rPr>
                <w:rFonts w:hint="eastAsia"/>
                <w:color w:val="auto"/>
                <w:sz w:val="24"/>
                <w:highlight w:val="none"/>
              </w:rPr>
              <w:t>售后服务人员</w:t>
            </w: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val="0"/>
            <w:vAlign w:val="top"/>
          </w:tc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c>
          <w:tcPr>
            <w:tcW w:w="947" w:type="dxa"/>
            <w:noWrap w:val="0"/>
            <w:vAlign w:val="top"/>
          </w:tcPr>
          <w:p>
            <w:pPr>
              <w:shd w:val="clear" w:color="auto" w:fill="auto"/>
              <w:spacing w:line="360" w:lineRule="auto"/>
              <w:rPr>
                <w:color w:val="auto"/>
                <w:sz w:val="24"/>
                <w:highlight w:val="none"/>
              </w:rPr>
            </w:pPr>
          </w:p>
        </w:tc>
      </w:tr>
    </w:tbl>
    <w:p>
      <w:pPr>
        <w:shd w:val="clear" w:color="auto" w:fill="auto"/>
        <w:rPr>
          <w:rFonts w:hint="eastAsia" w:ascii="宋体"/>
          <w:color w:val="auto"/>
          <w:sz w:val="24"/>
          <w:highlight w:val="none"/>
        </w:rPr>
      </w:pPr>
    </w:p>
    <w:p>
      <w:pPr>
        <w:shd w:val="clear" w:color="auto" w:fill="auto"/>
        <w:rPr>
          <w:rFonts w:hint="eastAsia" w:ascii="宋体"/>
          <w:color w:val="auto"/>
          <w:sz w:val="24"/>
          <w:highlight w:val="none"/>
        </w:rPr>
      </w:pPr>
    </w:p>
    <w:p>
      <w:pPr>
        <w:shd w:val="clear" w:color="auto" w:fill="auto"/>
        <w:rPr>
          <w:rFonts w:hint="eastAsia" w:ascii="宋体"/>
          <w:color w:val="auto"/>
          <w:sz w:val="24"/>
          <w:highlight w:val="none"/>
        </w:rPr>
      </w:pPr>
    </w:p>
    <w:p>
      <w:pPr>
        <w:shd w:val="clear" w:color="auto" w:fil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供应商名称：XXX（盖单位公章）</w:t>
      </w:r>
    </w:p>
    <w:p>
      <w:pPr>
        <w:shd w:val="clear" w:color="auto" w:fil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法定代表人或授权代表（签字）：XXX</w:t>
      </w:r>
    </w:p>
    <w:p>
      <w:pPr>
        <w:shd w:val="clear" w:color="auto" w:fill="auto"/>
        <w:adjustRightInd w:val="0"/>
        <w:spacing w:line="400" w:lineRule="exact"/>
        <w:jc w:val="left"/>
        <w:rPr>
          <w:rFonts w:hint="eastAsia" w:ascii="Times New Roman" w:hAnsi="Times New Roman" w:eastAsia="宋体" w:cs="Times New Roman"/>
          <w:b/>
          <w:color w:val="auto"/>
          <w:sz w:val="24"/>
          <w:szCs w:val="32"/>
          <w:highlight w:val="none"/>
          <w:lang w:bidi="ar-SA"/>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lang w:bidi="ar-SA"/>
        </w:rPr>
        <w:t>XXX年XXX月XXX日</w:t>
      </w:r>
    </w:p>
    <w:p>
      <w:pPr>
        <w:shd w:val="clear" w:color="auto" w:fill="auto"/>
        <w:rPr>
          <w:color w:val="auto"/>
          <w:sz w:val="24"/>
          <w:highlight w:val="none"/>
        </w:rPr>
      </w:pPr>
    </w:p>
    <w:p>
      <w:pPr>
        <w:keepNext w:val="0"/>
        <w:keepLines w:val="0"/>
        <w:widowControl w:val="0"/>
        <w:shd w:val="clear" w:color="auto" w:fill="auto"/>
        <w:kinsoku w:val="0"/>
        <w:autoSpaceDE w:val="0"/>
        <w:autoSpaceDN w:val="0"/>
        <w:adjustRightInd w:val="0"/>
        <w:snapToGrid w:val="0"/>
        <w:spacing w:before="0" w:after="0" w:line="400" w:lineRule="exact"/>
        <w:jc w:val="center"/>
        <w:textAlignment w:val="baseline"/>
        <w:outlineLvl w:val="9"/>
        <w:rPr>
          <w:rFonts w:ascii="宋体" w:hAnsi="宋体" w:eastAsia="黑体" w:cs="Arial"/>
          <w:b/>
          <w:bCs w:val="0"/>
          <w:snapToGrid w:val="0"/>
          <w:color w:val="auto"/>
          <w:kern w:val="0"/>
          <w:sz w:val="32"/>
          <w:szCs w:val="32"/>
          <w:highlight w:val="none"/>
        </w:rPr>
        <w:sectPr>
          <w:pgSz w:w="11906" w:h="16838"/>
          <w:pgMar w:top="1417" w:right="1417" w:bottom="1417" w:left="1417" w:header="851" w:footer="992" w:gutter="0"/>
          <w:cols w:space="0" w:num="1"/>
          <w:rtlGutter w:val="0"/>
          <w:docGrid w:type="lines" w:linePitch="312" w:charSpace="0"/>
        </w:sectPr>
      </w:pPr>
    </w:p>
    <w:p>
      <w:pPr>
        <w:pStyle w:val="4"/>
        <w:widowControl/>
        <w:numPr>
          <w:ilvl w:val="0"/>
          <w:numId w:val="53"/>
        </w:numPr>
        <w:topLinePunct w:val="0"/>
        <w:ind w:left="0" w:leftChars="0" w:firstLine="0" w:firstLineChars="0"/>
        <w:rPr>
          <w:b/>
        </w:rPr>
      </w:pPr>
      <w:r>
        <w:t>技术、服务要求应答表</w:t>
      </w:r>
    </w:p>
    <w:p>
      <w:pPr>
        <w:pStyle w:val="2"/>
        <w:widowControl/>
        <w:pBdr>
          <w:top w:val="none" w:color="auto" w:sz="0" w:space="1"/>
          <w:left w:val="none" w:color="auto" w:sz="0" w:space="4"/>
          <w:bottom w:val="none" w:color="auto" w:sz="0" w:space="0"/>
          <w:right w:val="none" w:color="auto" w:sz="0" w:space="4"/>
        </w:pBdr>
        <w:rPr>
          <w:color w:val="auto"/>
          <w:highlight w:val="none"/>
        </w:rPr>
      </w:pPr>
      <w:r>
        <w:rPr>
          <w:color w:val="auto"/>
          <w:highlight w:val="none"/>
        </w:rPr>
        <w:t>项目编号：XXX</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467"/>
        <w:gridCol w:w="346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11" w:type="pct"/>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序号</w:t>
            </w:r>
          </w:p>
        </w:tc>
        <w:tc>
          <w:tcPr>
            <w:tcW w:w="1866" w:type="pct"/>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磋商文件要求</w:t>
            </w:r>
          </w:p>
        </w:tc>
        <w:tc>
          <w:tcPr>
            <w:tcW w:w="1866" w:type="pct"/>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响应文件响应</w:t>
            </w:r>
          </w:p>
        </w:tc>
        <w:tc>
          <w:tcPr>
            <w:tcW w:w="755" w:type="pct"/>
            <w:noWrap w:val="0"/>
            <w:vAlign w:val="center"/>
          </w:tcPr>
          <w:p>
            <w:pPr>
              <w:shd w:val="clear" w:color="auto" w:fill="auto"/>
              <w:jc w:val="center"/>
              <w:rPr>
                <w:rFonts w:hint="eastAsia" w:ascii="宋体"/>
                <w:color w:val="auto"/>
                <w:sz w:val="24"/>
                <w:highlight w:val="none"/>
              </w:rPr>
            </w:pPr>
            <w:r>
              <w:rPr>
                <w:rFonts w:hint="eastAsia" w:asci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1"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755" w:type="pct"/>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1"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755" w:type="pct"/>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1"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755" w:type="pct"/>
            <w:noWrap w:val="0"/>
            <w:vAlign w:val="top"/>
          </w:tcPr>
          <w:p>
            <w:pPr>
              <w:shd w:val="clear" w:color="auto" w:fill="auto"/>
              <w:jc w:val="center"/>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1"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1866" w:type="pct"/>
            <w:noWrap w:val="0"/>
            <w:vAlign w:val="top"/>
          </w:tcPr>
          <w:p>
            <w:pPr>
              <w:shd w:val="clear" w:color="auto" w:fill="auto"/>
              <w:jc w:val="center"/>
              <w:rPr>
                <w:rFonts w:hint="eastAsia" w:ascii="宋体"/>
                <w:color w:val="auto"/>
                <w:sz w:val="24"/>
                <w:highlight w:val="none"/>
              </w:rPr>
            </w:pPr>
          </w:p>
        </w:tc>
        <w:tc>
          <w:tcPr>
            <w:tcW w:w="755" w:type="pct"/>
            <w:noWrap w:val="0"/>
            <w:vAlign w:val="top"/>
          </w:tcPr>
          <w:p>
            <w:pPr>
              <w:shd w:val="clear" w:color="auto" w:fill="auto"/>
              <w:jc w:val="center"/>
              <w:rPr>
                <w:rFonts w:hint="eastAsia" w:ascii="宋体"/>
                <w:color w:val="auto"/>
                <w:sz w:val="24"/>
                <w:highlight w:val="none"/>
              </w:rPr>
            </w:pPr>
          </w:p>
        </w:tc>
      </w:tr>
    </w:tbl>
    <w:p>
      <w:pPr>
        <w:shd w:val="clear" w:color="auto" w:fill="auto"/>
        <w:ind w:firstLine="480" w:firstLineChars="200"/>
        <w:rPr>
          <w:rFonts w:hint="eastAsia" w:ascii="宋体"/>
          <w:b/>
          <w:color w:val="auto"/>
          <w:sz w:val="24"/>
          <w:highlight w:val="none"/>
        </w:rPr>
      </w:pPr>
    </w:p>
    <w:p>
      <w:pPr>
        <w:pStyle w:val="2"/>
        <w:widowControl/>
        <w:rPr>
          <w:color w:val="auto"/>
          <w:highlight w:val="none"/>
        </w:rPr>
      </w:pPr>
      <w:r>
        <w:rPr>
          <w:color w:val="auto"/>
          <w:highlight w:val="none"/>
        </w:rPr>
        <w:t>注意：供应商必须据实填写，不得虚假响应，虚假响应的，其响应文件无效并按规定追究其相关责任。</w:t>
      </w:r>
    </w:p>
    <w:p>
      <w:pPr>
        <w:pStyle w:val="2"/>
        <w:shd w:val="clear" w:color="auto" w:fill="auto"/>
        <w:rPr>
          <w:color w:val="auto"/>
          <w:highlight w:val="none"/>
        </w:rPr>
      </w:pPr>
    </w:p>
    <w:p>
      <w:pPr>
        <w:shd w:val="clear" w:color="auto" w:fil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供应商名称：XXX（盖单位公章）</w:t>
      </w:r>
    </w:p>
    <w:p>
      <w:pPr>
        <w:shd w:val="clear" w:color="auto" w:fil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法定代表人或授权代表（签字）：XXX</w:t>
      </w:r>
    </w:p>
    <w:p>
      <w:pPr>
        <w:shd w:val="clear" w:color="auto" w:fill="auto"/>
        <w:adjustRightInd w:val="0"/>
        <w:spacing w:line="400" w:lineRule="exact"/>
        <w:jc w:val="left"/>
        <w:rPr>
          <w:rFonts w:hint="eastAsia" w:ascii="Times New Roman" w:hAnsi="Times New Roman" w:eastAsia="宋体" w:cs="Times New Roman"/>
          <w:color w:val="auto"/>
          <w:sz w:val="24"/>
          <w:highlight w:val="none"/>
          <w:lang w:bidi="ar-SA"/>
        </w:rPr>
      </w:pPr>
      <w:r>
        <w:rPr>
          <w:rFonts w:hint="eastAsia" w:ascii="Times New Roman"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lang w:bidi="ar-SA"/>
        </w:rPr>
        <w:t>XXX年XXX月XXX日</w:t>
      </w:r>
    </w:p>
    <w:p>
      <w:pPr>
        <w:pStyle w:val="2"/>
        <w:shd w:val="clear" w:color="auto" w:fill="auto"/>
        <w:rPr>
          <w:rFonts w:hint="eastAsia" w:ascii="宋体"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pPr>
        <w:pStyle w:val="3"/>
        <w:shd w:val="clear" w:color="auto" w:fill="auto"/>
        <w:rPr>
          <w:rFonts w:hint="eastAsia" w:cs="宋体"/>
          <w:color w:val="auto"/>
          <w:sz w:val="24"/>
          <w:highlight w:val="none"/>
          <w:lang w:bidi="ar-SA"/>
        </w:rPr>
      </w:pPr>
    </w:p>
    <w:p>
      <w:r>
        <w:br w:type="page"/>
      </w:r>
    </w:p>
    <w:p>
      <w:pPr>
        <w:pStyle w:val="4"/>
        <w:widowControl/>
        <w:numPr>
          <w:ilvl w:val="0"/>
          <w:numId w:val="53"/>
        </w:numPr>
        <w:topLinePunct w:val="0"/>
        <w:ind w:left="0" w:leftChars="0" w:firstLine="0" w:firstLineChars="0"/>
        <w:rPr>
          <w:b/>
        </w:rPr>
      </w:pPr>
      <w:r>
        <w:t>供应商认为其他所需要提供的文件或资料</w:t>
      </w:r>
    </w:p>
    <w:p>
      <w:pPr>
        <w:spacing w:before="101" w:line="224" w:lineRule="auto"/>
        <w:ind w:left="727"/>
        <w:outlineLvl w:val="9"/>
        <w:rPr>
          <w:rFonts w:ascii="宋体" w:hAnsi="宋体" w:eastAsia="宋体" w:cs="宋体"/>
          <w:spacing w:val="10"/>
          <w:sz w:val="31"/>
          <w:szCs w:val="31"/>
          <w14:textOutline w14:w="5793" w14:cap="sq" w14:cmpd="sng">
            <w14:solidFill>
              <w14:srgbClr w14:val="000000"/>
            </w14:solidFill>
            <w14:prstDash w14:val="solid"/>
            <w14:bevel/>
          </w14:textOutline>
        </w:rPr>
      </w:pPr>
    </w:p>
    <w:p>
      <w:pPr>
        <w:pStyle w:val="2"/>
        <w:widowControl/>
      </w:pPr>
      <w:r>
        <w:t>（格式自拟）</w:t>
      </w:r>
    </w:p>
    <w:p>
      <w:pPr>
        <w:spacing w:before="101" w:line="224" w:lineRule="auto"/>
        <w:ind w:left="727"/>
        <w:outlineLvl w:val="9"/>
        <w:rPr>
          <w:rFonts w:hint="eastAsia" w:ascii="宋体" w:hAnsi="宋体" w:eastAsia="宋体" w:cs="宋体"/>
          <w:spacing w:val="10"/>
          <w:sz w:val="31"/>
          <w:szCs w:val="31"/>
          <w14:textOutline w14:w="5793" w14:cap="sq" w14:cmpd="sng">
            <w14:solidFill>
              <w14:srgbClr w14:val="000000"/>
            </w14:solidFill>
            <w14:prstDash w14:val="solid"/>
            <w14:bevel/>
          </w14:textOutline>
        </w:rPr>
        <w:sectPr>
          <w:footerReference r:id="rId17" w:type="default"/>
          <w:pgSz w:w="11907" w:h="16840"/>
          <w:pgMar w:top="1417" w:right="1417" w:bottom="1417" w:left="1417" w:header="851" w:footer="992" w:gutter="0"/>
          <w:cols w:space="0" w:num="1"/>
          <w:rtlGutter w:val="0"/>
          <w:docGrid w:linePitch="312" w:charSpace="0"/>
        </w:sectPr>
      </w:pPr>
    </w:p>
    <w:p>
      <w:pPr>
        <w:pStyle w:val="31"/>
        <w:widowControl/>
        <w:numPr>
          <w:ilvl w:val="0"/>
          <w:numId w:val="1"/>
        </w:numPr>
        <w:ind w:left="0" w:leftChars="0" w:firstLine="0" w:firstLineChars="0"/>
        <w:outlineLvl w:val="0"/>
        <w:rPr>
          <w:b w:val="0"/>
        </w:rPr>
      </w:pPr>
      <w:bookmarkStart w:id="103" w:name="_Toc24563"/>
      <w:r>
        <w:t>磋商内容、磋商过程中可实质性变动的内容</w:t>
      </w:r>
      <w:bookmarkEnd w:id="103"/>
    </w:p>
    <w:p>
      <w:pPr>
        <w:spacing w:line="290" w:lineRule="auto"/>
        <w:rPr>
          <w:rFonts w:ascii="Arial"/>
          <w:sz w:val="21"/>
        </w:rPr>
      </w:pPr>
    </w:p>
    <w:p>
      <w:pPr>
        <w:spacing w:line="290" w:lineRule="auto"/>
        <w:rPr>
          <w:rFonts w:ascii="Arial"/>
          <w:sz w:val="21"/>
        </w:rPr>
      </w:pPr>
    </w:p>
    <w:p>
      <w:pPr>
        <w:pStyle w:val="4"/>
        <w:widowControl/>
        <w:numPr>
          <w:ilvl w:val="0"/>
          <w:numId w:val="58"/>
        </w:numPr>
        <w:topLinePunct w:val="0"/>
        <w:ind w:left="0" w:leftChars="0" w:firstLine="0" w:firstLineChars="0"/>
        <w:rPr>
          <w:b/>
        </w:rPr>
      </w:pPr>
      <w:bookmarkStart w:id="104" w:name="_Toc26892"/>
      <w:r>
        <w:t>磋商内容：</w:t>
      </w:r>
      <w:bookmarkEnd w:id="104"/>
    </w:p>
    <w:p>
      <w:pPr>
        <w:pStyle w:val="1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bookmarkStart w:id="105" w:name="_Toc16436"/>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（一）如何有效地宣传推广天府科技云：包括制定宣传策略、选择合适的宣传渠道、创建吸引人的宣传材料以及评估宣传效果等。</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（二）如何做好示范引领工作：制定详细的计划和步骤，以培育示范案例和示范工作室，包括挑选有潜力的项目、提供必要的资源支持、建立评估和反馈机制以及分享成功经验等。</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（三）如何做好人才服务：制定引进专家人才的策略，开展高质量项目培训和路演等活动，涉及确定人才需求、制定吸引人才的政策、组织培训课程和路演活动以及建立长期合作机制等。</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（四）研究如何转化对接项目：利用天府科技云平台实现科研成果的精准对接，包括宣传平台功能、建立科研成果数据库、线下项目路演、成果推介、提供匹配服务以及跟踪对接效果等。</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（五）制定打造高质量典型案例的方案：需要明确案例的标准、收集和筛选案例、进行案例的编写和编辑以及推广和应用。</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（六）制定高质量做好全国科普日、全国科技工作者日、科创会相关工作的计划：包括配合策划活动、组织与会人员、确保活动顺利进行以及评估活动效果等。</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七）如何“精准服务全民科学素质提升，推动天府科技云科普工作高质量发展”：丰富平台内容，向平台推送优质科普内容（遴选推送优秀原创科普作品）和科普活动；发挥平台作用，加强天府科技云平台科普资源推送传播 ；增强科普实效，培养群众城乡群众“上天府科技云，向科学要答案”习惯。</w:t>
      </w:r>
    </w:p>
    <w:p>
      <w:pPr>
        <w:pStyle w:val="18"/>
        <w:keepNext w:val="0"/>
        <w:keepLines w:val="0"/>
        <w:pageBreakBefore w:val="0"/>
        <w:widowControl/>
        <w:shd w:val="clear" w:color="auto" w:fill="FFFFFF"/>
        <w:kinsoku/>
        <w:wordWrap w:val="0"/>
        <w:overflowPunct/>
        <w:topLinePunct w:val="0"/>
        <w:autoSpaceDE/>
        <w:autoSpaceDN/>
        <w:bidi w:val="0"/>
        <w:adjustRightInd/>
        <w:spacing w:before="0" w:beforeAutospacing="0" w:after="0" w:afterAutospacing="0" w:line="576" w:lineRule="exact"/>
        <w:ind w:left="0" w:right="0" w:firstLine="480" w:firstLineChars="200"/>
        <w:jc w:val="both"/>
        <w:textAlignment w:val="auto"/>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color="auto" w:fill="FFFFFF"/>
          <w:lang w:val="en-US" w:eastAsia="zh-CN" w:bidi="ar"/>
        </w:rPr>
        <w:t>（八）如何高效管理云服中心及创优争先：包括设定明确的目标、进行定期的绩效评估、提供必要的支持和培训以及奖励优秀表现。</w:t>
      </w:r>
    </w:p>
    <w:p>
      <w:pPr>
        <w:pStyle w:val="4"/>
        <w:widowControl/>
        <w:numPr>
          <w:ilvl w:val="0"/>
          <w:numId w:val="58"/>
        </w:numPr>
        <w:topLinePunct w:val="0"/>
        <w:ind w:left="0" w:leftChars="0" w:firstLine="0" w:firstLineChars="0"/>
        <w:rPr>
          <w:b/>
        </w:rPr>
      </w:pPr>
      <w:r>
        <w:t>磋商过程中可能实质性变动的内容：</w:t>
      </w:r>
      <w:bookmarkEnd w:id="105"/>
    </w:p>
    <w:p>
      <w:pPr>
        <w:pStyle w:val="2"/>
        <w:widowControl/>
        <w:numPr>
          <w:ilvl w:val="0"/>
          <w:numId w:val="59"/>
        </w:numPr>
        <w:topLinePunct w:val="0"/>
        <w:ind w:left="0" w:leftChars="0" w:firstLine="480" w:firstLineChars="0"/>
        <w:rPr>
          <w:b w:val="0"/>
        </w:rPr>
      </w:pPr>
      <w:r>
        <w:t>供应商报价</w:t>
      </w:r>
    </w:p>
    <w:p>
      <w:pPr>
        <w:pStyle w:val="2"/>
        <w:widowControl/>
        <w:numPr>
          <w:ilvl w:val="0"/>
          <w:numId w:val="59"/>
        </w:numPr>
        <w:topLinePunct w:val="0"/>
        <w:ind w:left="0" w:leftChars="0" w:firstLine="480" w:firstLineChars="0"/>
        <w:rPr>
          <w:b w:val="0"/>
        </w:rPr>
      </w:pPr>
      <w:r>
        <w:t>采购需求中的技术、商务、服务要求以及合同样例条款等。实质性变动的内</w:t>
      </w:r>
    </w:p>
    <w:p>
      <w:pPr>
        <w:pStyle w:val="2"/>
        <w:widowControl/>
      </w:pPr>
      <w:r>
        <w:t>容，须经磋商小组中的采购人代表确认。</w:t>
      </w:r>
    </w:p>
    <w:p>
      <w:pPr>
        <w:sectPr>
          <w:headerReference r:id="rId18" w:type="default"/>
          <w:footerReference r:id="rId19" w:type="default"/>
          <w:pgSz w:w="11906" w:h="16839"/>
          <w:pgMar w:top="1417" w:right="1417" w:bottom="1417" w:left="1417" w:header="851" w:footer="994" w:gutter="0"/>
          <w:pgNumType w:fmt="decimal"/>
          <w:cols w:space="0" w:num="1"/>
          <w:rtlGutter w:val="0"/>
        </w:sectPr>
      </w:pPr>
    </w:p>
    <w:p>
      <w:pPr>
        <w:pStyle w:val="31"/>
        <w:widowControl/>
        <w:numPr>
          <w:ilvl w:val="0"/>
          <w:numId w:val="1"/>
        </w:numPr>
        <w:ind w:left="0" w:leftChars="0" w:firstLine="0" w:firstLineChars="0"/>
        <w:outlineLvl w:val="0"/>
        <w:rPr>
          <w:b w:val="0"/>
        </w:rPr>
      </w:pPr>
      <w:bookmarkStart w:id="106" w:name="_Toc30385"/>
      <w:r>
        <w:t>综合评分</w:t>
      </w:r>
      <w:bookmarkEnd w:id="106"/>
    </w:p>
    <w:p>
      <w:pPr>
        <w:pStyle w:val="4"/>
        <w:widowControl/>
        <w:numPr>
          <w:ilvl w:val="0"/>
          <w:numId w:val="60"/>
        </w:numPr>
        <w:ind w:left="0" w:leftChars="0" w:firstLine="0" w:firstLineChars="0"/>
        <w:rPr>
          <w:b/>
        </w:rPr>
      </w:pPr>
      <w:bookmarkStart w:id="107" w:name="_Toc1010"/>
      <w:bookmarkStart w:id="108" w:name="_Toc6921"/>
      <w:r>
        <w:t>总则</w:t>
      </w:r>
    </w:p>
    <w:p>
      <w:pPr>
        <w:pStyle w:val="2"/>
        <w:widowControl/>
        <w:numPr>
          <w:ilvl w:val="0"/>
          <w:numId w:val="61"/>
        </w:numPr>
        <w:ind w:left="0" w:leftChars="0" w:firstLine="480" w:firstLineChars="0"/>
        <w:rPr>
          <w:b w:val="0"/>
        </w:rPr>
      </w:pPr>
      <w:r>
        <w:t>根据《中华人民共和国政府采购法》、《中华人民共和国政府采购法实施条例》、《政府采购竞争性磋商采购方式管理暂行办法》等法律制度，结合本采购项目特点制定本磋商方法。</w:t>
      </w:r>
    </w:p>
    <w:p>
      <w:pPr>
        <w:pStyle w:val="2"/>
        <w:widowControl/>
        <w:numPr>
          <w:ilvl w:val="0"/>
          <w:numId w:val="61"/>
        </w:numPr>
        <w:ind w:left="0" w:leftChars="0" w:firstLine="480" w:firstLineChars="0"/>
        <w:rPr>
          <w:b w:val="0"/>
        </w:rPr>
      </w:pPr>
      <w:r>
        <w:t>磋商工作由采购人/采购代理机构负责组织，具体磋商由采购人/采购代理机构依法组建的磋商小组负责。</w:t>
      </w:r>
    </w:p>
    <w:p>
      <w:pPr>
        <w:pStyle w:val="2"/>
        <w:widowControl/>
        <w:numPr>
          <w:ilvl w:val="0"/>
          <w:numId w:val="61"/>
        </w:numPr>
        <w:ind w:left="0" w:leftChars="0" w:firstLine="480" w:firstLineChars="0"/>
        <w:rPr>
          <w:b w:val="0"/>
        </w:rPr>
      </w:pPr>
      <w:r>
        <w:t>磋商工作应遵循公平、公正、科学及择优的原则，并以相同的磋商程序和标准对待所有的供应商。</w:t>
      </w:r>
    </w:p>
    <w:p>
      <w:pPr>
        <w:pStyle w:val="2"/>
        <w:widowControl/>
        <w:numPr>
          <w:ilvl w:val="0"/>
          <w:numId w:val="61"/>
        </w:numPr>
        <w:ind w:left="0" w:leftChars="0" w:firstLine="480" w:firstLineChars="0"/>
        <w:rPr>
          <w:b w:val="0"/>
        </w:rPr>
      </w:pPr>
      <w:r>
        <w:t>磋商小组按照磋商文件规定的磋商程序、评分方法和标准进行评审，并独立履行下列职责：</w:t>
      </w:r>
    </w:p>
    <w:p>
      <w:pPr>
        <w:pStyle w:val="2"/>
        <w:widowControl/>
        <w:numPr>
          <w:ilvl w:val="0"/>
          <w:numId w:val="62"/>
        </w:numPr>
        <w:topLinePunct w:val="0"/>
        <w:ind w:left="0" w:leftChars="0" w:firstLine="480" w:firstLineChars="0"/>
        <w:rPr>
          <w:b w:val="0"/>
        </w:rPr>
      </w:pPr>
      <w:r>
        <w:t>熟悉和理解磋商文件，确定磋商文件内容是否违反国家有关强制性规定或者磋商文件存在歧义、重大缺陷，根据需要书面要求采购人、采购代理机构对磋商文件作出解释；</w:t>
      </w:r>
    </w:p>
    <w:p>
      <w:pPr>
        <w:pStyle w:val="2"/>
        <w:widowControl/>
        <w:numPr>
          <w:ilvl w:val="0"/>
          <w:numId w:val="62"/>
        </w:numPr>
        <w:topLinePunct w:val="0"/>
        <w:ind w:left="0" w:leftChars="0" w:firstLine="480" w:firstLineChars="0"/>
        <w:rPr>
          <w:b w:val="0"/>
        </w:rPr>
      </w:pPr>
      <w:r>
        <w:t>审查供应商响应文件是否满足磋商文件要求，并作出公正评价；</w:t>
      </w:r>
    </w:p>
    <w:p>
      <w:pPr>
        <w:pStyle w:val="2"/>
        <w:widowControl/>
        <w:numPr>
          <w:ilvl w:val="0"/>
          <w:numId w:val="62"/>
        </w:numPr>
        <w:topLinePunct w:val="0"/>
        <w:ind w:left="0" w:leftChars="0" w:firstLine="480" w:firstLineChars="0"/>
        <w:rPr>
          <w:b w:val="0"/>
        </w:rPr>
      </w:pPr>
      <w:r>
        <w:t>根据需要要求供应商对响应文件中含义不明确、同类问题表述不一致或者有明显文字和计算错误的内容等作出必要的澄清、说明或者更正；</w:t>
      </w:r>
    </w:p>
    <w:p>
      <w:pPr>
        <w:pStyle w:val="2"/>
        <w:widowControl/>
        <w:numPr>
          <w:ilvl w:val="0"/>
          <w:numId w:val="62"/>
        </w:numPr>
        <w:topLinePunct w:val="0"/>
        <w:ind w:left="0" w:leftChars="0" w:firstLine="480" w:firstLineChars="0"/>
        <w:rPr>
          <w:b w:val="0"/>
        </w:rPr>
      </w:pPr>
      <w:r>
        <w:t>评标委员会推荐的第一中标候选人为中标供应商；</w:t>
      </w:r>
    </w:p>
    <w:p>
      <w:pPr>
        <w:pStyle w:val="2"/>
        <w:widowControl/>
        <w:numPr>
          <w:ilvl w:val="0"/>
          <w:numId w:val="62"/>
        </w:numPr>
        <w:topLinePunct w:val="0"/>
        <w:ind w:left="0" w:leftChars="0" w:firstLine="480" w:firstLineChars="0"/>
        <w:rPr>
          <w:b w:val="0"/>
        </w:rPr>
      </w:pPr>
      <w:r>
        <w:t>起草评审报告并进行签署；</w:t>
      </w:r>
    </w:p>
    <w:p>
      <w:pPr>
        <w:pStyle w:val="2"/>
        <w:widowControl/>
        <w:numPr>
          <w:ilvl w:val="0"/>
          <w:numId w:val="62"/>
        </w:numPr>
        <w:topLinePunct w:val="0"/>
        <w:ind w:left="0" w:leftChars="0" w:firstLine="480" w:firstLineChars="0"/>
        <w:rPr>
          <w:b w:val="0"/>
        </w:rPr>
      </w:pPr>
      <w:r>
        <w:t>向采购人/采购代理机构、财政部门或者其他监督部门报告非法干预评审工作的行为；</w:t>
      </w:r>
    </w:p>
    <w:p>
      <w:pPr>
        <w:pStyle w:val="2"/>
        <w:widowControl/>
        <w:numPr>
          <w:ilvl w:val="0"/>
          <w:numId w:val="62"/>
        </w:numPr>
        <w:topLinePunct w:val="0"/>
        <w:ind w:left="0" w:leftChars="0" w:firstLine="480" w:firstLineChars="0"/>
        <w:rPr>
          <w:b w:val="0"/>
        </w:rPr>
      </w:pPr>
      <w:r>
        <w:t>法律、法规和规章规定的其他职责。</w:t>
      </w:r>
    </w:p>
    <w:p>
      <w:pPr>
        <w:pStyle w:val="2"/>
        <w:widowControl/>
        <w:numPr>
          <w:ilvl w:val="0"/>
          <w:numId w:val="61"/>
        </w:numPr>
        <w:ind w:left="0" w:leftChars="0" w:firstLine="480" w:firstLineChars="0"/>
        <w:rPr>
          <w:b w:val="0"/>
        </w:rPr>
      </w:pPr>
      <w:r>
        <w:t>（实质性要求）磋商过程独立、保密。供应商非法干预磋商过程的，其响应文件作无效处理。</w:t>
      </w:r>
    </w:p>
    <w:p>
      <w:pPr>
        <w:keepNext w:val="0"/>
        <w:keepLines w:val="0"/>
        <w:pageBreakBefore w:val="0"/>
        <w:widowControl/>
        <w:kinsoku w:val="0"/>
        <w:wordWrap/>
        <w:overflowPunct/>
        <w:topLinePunct w:val="0"/>
        <w:autoSpaceDE w:val="0"/>
        <w:autoSpaceDN w:val="0"/>
        <w:bidi w:val="0"/>
        <w:adjustRightInd w:val="0"/>
        <w:snapToGrid w:val="0"/>
        <w:spacing w:before="152" w:line="310" w:lineRule="exact"/>
        <w:ind w:left="505" w:firstLine="488" w:firstLineChars="200"/>
        <w:textAlignment w:val="baseline"/>
        <w:outlineLvl w:val="9"/>
        <w:rPr>
          <w:rFonts w:hint="eastAsia" w:ascii="宋体" w:hAnsi="宋体" w:eastAsia="宋体" w:cs="宋体"/>
          <w:spacing w:val="7"/>
          <w:position w:val="1"/>
          <w:sz w:val="23"/>
          <w:szCs w:val="23"/>
          <w:lang w:val="en-US" w:eastAsia="zh-CN"/>
        </w:rPr>
      </w:pPr>
    </w:p>
    <w:p>
      <w:pPr>
        <w:pStyle w:val="4"/>
        <w:widowControl/>
        <w:numPr>
          <w:ilvl w:val="0"/>
          <w:numId w:val="60"/>
        </w:numPr>
        <w:ind w:left="0" w:leftChars="0" w:firstLine="0" w:firstLineChars="0"/>
        <w:rPr>
          <w:b/>
        </w:rPr>
      </w:pPr>
      <w:r>
        <w:t>磋商程序</w:t>
      </w:r>
    </w:p>
    <w:p>
      <w:pPr>
        <w:pStyle w:val="2"/>
        <w:widowControl/>
        <w:numPr>
          <w:ilvl w:val="0"/>
          <w:numId w:val="63"/>
        </w:numPr>
        <w:ind w:left="0" w:leftChars="0" w:firstLine="480" w:firstLineChars="0"/>
        <w:rPr>
          <w:b w:val="0"/>
        </w:rPr>
      </w:pPr>
      <w:r>
        <w:t>审查磋商文件和停止评审。</w:t>
      </w:r>
    </w:p>
    <w:p>
      <w:pPr>
        <w:pStyle w:val="2"/>
        <w:widowControl/>
        <w:numPr>
          <w:ilvl w:val="0"/>
          <w:numId w:val="64"/>
        </w:numPr>
        <w:ind w:left="0" w:leftChars="0" w:firstLine="480" w:firstLineChars="0"/>
        <w:rPr>
          <w:b w:val="0"/>
        </w:rPr>
      </w:pPr>
      <w:r>
        <w:t>磋商小组正式评审前，应当对磋商文件进行熟悉和理解，内容主要包括磋商文件中供应商资格条件要求、招标项目技术、服务和商务要求、磋商办法和标准、招标政策要求以及招标合同主要条款等。</w:t>
      </w:r>
    </w:p>
    <w:p>
      <w:pPr>
        <w:pStyle w:val="2"/>
        <w:widowControl/>
        <w:numPr>
          <w:ilvl w:val="0"/>
          <w:numId w:val="64"/>
        </w:numPr>
        <w:ind w:left="0" w:leftChars="0" w:firstLine="480" w:firstLineChars="0"/>
        <w:rPr>
          <w:b w:val="0"/>
        </w:rPr>
      </w:pPr>
      <w:r>
        <w:t>本磋商文件有下列情形之一的，磋商小组应当停止评审：</w:t>
      </w:r>
    </w:p>
    <w:p>
      <w:pPr>
        <w:pStyle w:val="2"/>
        <w:widowControl/>
        <w:numPr>
          <w:ilvl w:val="0"/>
          <w:numId w:val="65"/>
        </w:numPr>
        <w:topLinePunct w:val="0"/>
        <w:ind w:left="0" w:leftChars="0" w:firstLine="480" w:firstLineChars="0"/>
        <w:rPr>
          <w:b w:val="0"/>
        </w:rPr>
      </w:pPr>
      <w:r>
        <w:t>磋商文件的规定存在歧义、重大缺陷的；</w:t>
      </w:r>
    </w:p>
    <w:p>
      <w:pPr>
        <w:pStyle w:val="2"/>
        <w:widowControl/>
        <w:numPr>
          <w:ilvl w:val="0"/>
          <w:numId w:val="65"/>
        </w:numPr>
        <w:topLinePunct w:val="0"/>
        <w:ind w:left="0" w:leftChars="0" w:firstLine="480" w:firstLineChars="0"/>
        <w:rPr>
          <w:b w:val="0"/>
        </w:rPr>
      </w:pPr>
      <w:r>
        <w:t>磋商文件明显以不合理条件对供应商实行差别待遇或者歧视待遇的；</w:t>
      </w:r>
    </w:p>
    <w:p>
      <w:pPr>
        <w:pStyle w:val="2"/>
        <w:widowControl/>
        <w:numPr>
          <w:ilvl w:val="0"/>
          <w:numId w:val="65"/>
        </w:numPr>
        <w:topLinePunct w:val="0"/>
        <w:ind w:left="0" w:leftChars="0" w:firstLine="480" w:firstLineChars="0"/>
        <w:rPr>
          <w:b w:val="0"/>
        </w:rPr>
      </w:pPr>
      <w:r>
        <w:t>招标项目属于国家规定的优先、强制招标范围，但是磋商文件未依法体现优先、强制招标相关规定的；</w:t>
      </w:r>
    </w:p>
    <w:p>
      <w:pPr>
        <w:pStyle w:val="2"/>
        <w:widowControl/>
        <w:numPr>
          <w:ilvl w:val="0"/>
          <w:numId w:val="65"/>
        </w:numPr>
        <w:topLinePunct w:val="0"/>
        <w:ind w:left="0" w:leftChars="0" w:firstLine="480" w:firstLineChars="0"/>
        <w:rPr>
          <w:b w:val="0"/>
        </w:rPr>
      </w:pPr>
      <w:r>
        <w:t>招标项目属于招标促进中小企业发展的范围，但是磋商文件未依法体现促进中小企业发展相关规定的；</w:t>
      </w:r>
    </w:p>
    <w:p>
      <w:pPr>
        <w:pStyle w:val="2"/>
        <w:widowControl/>
        <w:numPr>
          <w:ilvl w:val="0"/>
          <w:numId w:val="65"/>
        </w:numPr>
        <w:topLinePunct w:val="0"/>
        <w:ind w:left="0" w:leftChars="0" w:firstLine="480" w:firstLineChars="0"/>
        <w:rPr>
          <w:b w:val="0"/>
        </w:rPr>
      </w:pPr>
      <w:r>
        <w:t>磋商文件将供应商的资格条件列为评分因素的；</w:t>
      </w:r>
    </w:p>
    <w:p>
      <w:pPr>
        <w:pStyle w:val="2"/>
        <w:widowControl/>
        <w:numPr>
          <w:ilvl w:val="0"/>
          <w:numId w:val="65"/>
        </w:numPr>
        <w:topLinePunct w:val="0"/>
        <w:ind w:left="0" w:leftChars="0" w:firstLine="480" w:firstLineChars="0"/>
        <w:rPr>
          <w:b w:val="0"/>
        </w:rPr>
      </w:pPr>
      <w:r>
        <w:t>磋商文件载明的成交原则不合法的；</w:t>
      </w:r>
    </w:p>
    <w:p>
      <w:pPr>
        <w:pStyle w:val="2"/>
        <w:widowControl/>
        <w:numPr>
          <w:ilvl w:val="0"/>
          <w:numId w:val="65"/>
        </w:numPr>
        <w:topLinePunct w:val="0"/>
        <w:ind w:left="0" w:leftChars="0" w:firstLine="480" w:firstLineChars="0"/>
        <w:rPr>
          <w:b w:val="0"/>
        </w:rPr>
      </w:pPr>
      <w:r>
        <w:t>磋商文件有违反国家其他有关强制性规定的情形。</w:t>
      </w:r>
    </w:p>
    <w:p>
      <w:pPr>
        <w:pStyle w:val="2"/>
        <w:widowControl/>
        <w:numPr>
          <w:ilvl w:val="0"/>
          <w:numId w:val="64"/>
        </w:numPr>
        <w:ind w:left="0" w:leftChars="0" w:firstLine="480" w:firstLineChars="0"/>
        <w:rPr>
          <w:b w:val="0"/>
        </w:rPr>
      </w:pPr>
      <w:r>
        <w:t>出现本条2.1.2规定应当停止评审情形的，磋商小组应当向采购人书面说明情况。除本条规定的情形外，磋商小组不得以任何方式和理由停止评审。</w:t>
      </w:r>
    </w:p>
    <w:p>
      <w:pPr>
        <w:pStyle w:val="2"/>
        <w:widowControl/>
        <w:numPr>
          <w:ilvl w:val="0"/>
          <w:numId w:val="63"/>
        </w:numPr>
        <w:ind w:left="0" w:leftChars="0" w:firstLine="480" w:firstLineChars="0"/>
        <w:rPr>
          <w:b w:val="0"/>
        </w:rPr>
      </w:pPr>
      <w:r>
        <w:t>资格性审查。</w:t>
      </w:r>
    </w:p>
    <w:p>
      <w:pPr>
        <w:pStyle w:val="2"/>
        <w:widowControl/>
        <w:numPr>
          <w:ilvl w:val="0"/>
          <w:numId w:val="66"/>
        </w:numPr>
        <w:ind w:left="0" w:leftChars="0" w:firstLine="480" w:firstLineChars="0"/>
        <w:rPr>
          <w:b w:val="0"/>
        </w:rPr>
      </w:pPr>
      <w:r>
        <w:t>本项目需要磋商小组进行资格性检查。（□本项目已发布资格预审公告并完成相关供应商资格预审）</w:t>
      </w:r>
    </w:p>
    <w:p>
      <w:pPr>
        <w:pStyle w:val="2"/>
        <w:widowControl/>
      </w:pPr>
      <w:r>
        <w:t>磋商小组应依据法律法规和磋商文件的规定，对响应文件是否按照规定要求提供资格性证明材料、是否属于禁止参加磋商的供应商等进行审查，以确定供应商是否具备磋商资格。</w:t>
      </w:r>
    </w:p>
    <w:p>
      <w:pPr>
        <w:pStyle w:val="2"/>
        <w:widowControl/>
        <w:numPr>
          <w:ilvl w:val="0"/>
          <w:numId w:val="66"/>
        </w:numPr>
        <w:ind w:left="0" w:leftChars="0" w:firstLine="480" w:firstLineChars="0"/>
        <w:rPr>
          <w:b w:val="0"/>
        </w:rPr>
      </w:pPr>
      <w:r>
        <w:t>资格性审查结束后，磋商小组应当出具资格性审查报告，没有通过资格审查的供应商，磋商小组应当在资格审查报告中说明原因。</w:t>
      </w:r>
    </w:p>
    <w:p>
      <w:pPr>
        <w:pStyle w:val="2"/>
        <w:widowControl/>
        <w:numPr>
          <w:ilvl w:val="0"/>
          <w:numId w:val="66"/>
        </w:numPr>
        <w:ind w:left="0" w:leftChars="0" w:firstLine="480" w:firstLineChars="0"/>
        <w:rPr>
          <w:b w:val="0"/>
        </w:rPr>
      </w:pPr>
      <w:r>
        <w:t>磋商小组应依据磋商文件规定的实质性要求，对符合资格的响应文件进行有效性、完整性和响应程度审查，以确定参加磋商的供应商名单。</w:t>
      </w:r>
    </w:p>
    <w:p>
      <w:pPr>
        <w:pStyle w:val="2"/>
        <w:widowControl/>
        <w:numPr>
          <w:ilvl w:val="0"/>
          <w:numId w:val="66"/>
        </w:numPr>
        <w:ind w:left="0" w:leftChars="0" w:firstLine="480" w:firstLineChars="0"/>
        <w:rPr>
          <w:b w:val="0"/>
        </w:rPr>
      </w:pPr>
      <w:r>
        <w:t>采购人或者采购代理机构宣布未通过资格性审查的供应商名单时，应当告知供应商未通过审查的原因。</w:t>
      </w:r>
    </w:p>
    <w:p>
      <w:pPr>
        <w:pStyle w:val="2"/>
        <w:widowControl/>
        <w:numPr>
          <w:ilvl w:val="0"/>
          <w:numId w:val="63"/>
        </w:numPr>
        <w:ind w:left="0" w:leftChars="0" w:firstLine="480" w:firstLineChars="0"/>
        <w:rPr>
          <w:b w:val="0"/>
        </w:rPr>
      </w:pPr>
      <w:r>
        <w:t>通过资格性审查的供应商不足三家的，终止本次招标活动，并发布终止招标活动公告。</w:t>
      </w:r>
    </w:p>
    <w:p>
      <w:pPr>
        <w:pStyle w:val="2"/>
        <w:widowControl/>
        <w:numPr>
          <w:ilvl w:val="0"/>
          <w:numId w:val="63"/>
        </w:numPr>
        <w:ind w:left="0" w:leftChars="0" w:firstLine="480" w:firstLineChars="0"/>
        <w:rPr>
          <w:b w:val="0"/>
        </w:rPr>
      </w:pPr>
      <w:r>
        <w:t>磋商。</w:t>
      </w:r>
    </w:p>
    <w:p>
      <w:pPr>
        <w:pStyle w:val="2"/>
        <w:widowControl/>
        <w:numPr>
          <w:ilvl w:val="0"/>
          <w:numId w:val="67"/>
        </w:numPr>
        <w:ind w:left="0" w:leftChars="0" w:firstLine="480" w:firstLineChars="0"/>
        <w:rPr>
          <w:b w:val="0"/>
        </w:rPr>
      </w:pPr>
      <w: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2"/>
        <w:widowControl/>
        <w:numPr>
          <w:ilvl w:val="0"/>
          <w:numId w:val="67"/>
        </w:numPr>
        <w:ind w:left="0" w:leftChars="0" w:firstLine="480" w:firstLineChars="0"/>
        <w:rPr>
          <w:b w:val="0"/>
        </w:rPr>
      </w:pPr>
      <w:r>
        <w:t>每轮磋商开始前，磋商小组应根据磋商文件的规定，并结合各供应商的响应</w:t>
      </w:r>
    </w:p>
    <w:p>
      <w:pPr>
        <w:pStyle w:val="2"/>
        <w:widowControl/>
      </w:pPr>
      <w:r>
        <w:t>文件拟定磋商内容。</w:t>
      </w:r>
    </w:p>
    <w:p>
      <w:pPr>
        <w:pStyle w:val="2"/>
        <w:widowControl/>
        <w:numPr>
          <w:ilvl w:val="0"/>
          <w:numId w:val="67"/>
        </w:numPr>
        <w:ind w:left="0" w:leftChars="0" w:firstLine="480" w:firstLineChars="0"/>
        <w:rPr>
          <w:b w:val="0"/>
        </w:rPr>
      </w:pPr>
      <w:r>
        <w:t>在磋商过程中，磋商小组可以根据磋商文件和磋商情况实质性变动磋商文件的技术、服务要求以及合同草案条款，但不得变动磋商文件中的其他内容。实质性变动的内容，须经采购人代表书面确认。</w:t>
      </w:r>
    </w:p>
    <w:p>
      <w:pPr>
        <w:pStyle w:val="2"/>
        <w:widowControl/>
        <w:numPr>
          <w:ilvl w:val="0"/>
          <w:numId w:val="67"/>
        </w:numPr>
        <w:ind w:left="0" w:leftChars="0" w:firstLine="480" w:firstLineChars="0"/>
        <w:rPr>
          <w:b w:val="0"/>
        </w:rPr>
      </w:pPr>
      <w:r>
        <w:t>对磋商文件作出的实质性变动是磋商文件的有效组成部分，磋商小组应当及时以书面形式同时通知所有参加磋商的供应商。</w:t>
      </w:r>
    </w:p>
    <w:p>
      <w:pPr>
        <w:pStyle w:val="2"/>
        <w:widowControl/>
        <w:numPr>
          <w:ilvl w:val="0"/>
          <w:numId w:val="67"/>
        </w:numPr>
        <w:ind w:left="0" w:leftChars="0" w:firstLine="480" w:firstLineChars="0"/>
        <w:rPr>
          <w:b w:val="0"/>
        </w:rPr>
      </w:pPr>
      <w:r>
        <w:t>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2"/>
        <w:widowControl/>
        <w:numPr>
          <w:ilvl w:val="0"/>
          <w:numId w:val="67"/>
        </w:numPr>
        <w:ind w:left="0" w:leftChars="0" w:firstLine="480" w:firstLineChars="0"/>
        <w:rPr>
          <w:b w:val="0"/>
        </w:rPr>
      </w:pPr>
      <w:r>
        <w:t>磋商过程中，磋商的任何一方不得透露与磋商有关的其他供应商的技术资料、价格和其他信息。</w:t>
      </w:r>
    </w:p>
    <w:p>
      <w:pPr>
        <w:pStyle w:val="2"/>
        <w:widowControl/>
        <w:numPr>
          <w:ilvl w:val="0"/>
          <w:numId w:val="67"/>
        </w:numPr>
        <w:ind w:left="0" w:leftChars="0" w:firstLine="480" w:firstLineChars="0"/>
        <w:rPr>
          <w:b w:val="0"/>
        </w:rPr>
      </w:pPr>
      <w:r>
        <w:t>磋商过程中，磋商小组发现或者知晓供应商存在违法、违纪行为的，磋商小组应当将该供应商响应文件作无效处理，不允许其提交最后报价。</w:t>
      </w:r>
    </w:p>
    <w:p>
      <w:pPr>
        <w:pStyle w:val="2"/>
        <w:widowControl/>
        <w:numPr>
          <w:ilvl w:val="0"/>
          <w:numId w:val="67"/>
        </w:numPr>
        <w:ind w:left="0" w:leftChars="0" w:firstLine="480" w:firstLineChars="0"/>
        <w:rPr>
          <w:b w:val="0"/>
        </w:rPr>
      </w:pPr>
      <w:r>
        <w:t>磋商完成后，磋商小组应出具磋商情况记录表，磋商情况记录表需包含磋商内容、磋商意见、实质性变动内容等。</w:t>
      </w:r>
    </w:p>
    <w:p>
      <w:pPr>
        <w:pStyle w:val="2"/>
        <w:widowControl/>
        <w:numPr>
          <w:ilvl w:val="0"/>
          <w:numId w:val="63"/>
        </w:numPr>
        <w:ind w:left="0" w:leftChars="0" w:firstLine="480" w:firstLineChars="0"/>
        <w:rPr>
          <w:b w:val="0"/>
        </w:rPr>
      </w:pPr>
      <w:r>
        <w:t>最后报价。</w:t>
      </w:r>
    </w:p>
    <w:p>
      <w:pPr>
        <w:pStyle w:val="2"/>
        <w:widowControl/>
        <w:numPr>
          <w:ilvl w:val="0"/>
          <w:numId w:val="68"/>
        </w:numPr>
        <w:ind w:left="0" w:leftChars="0" w:firstLine="480" w:firstLineChars="0"/>
        <w:rPr>
          <w:b w:val="0"/>
        </w:rPr>
      </w:pPr>
      <w:r>
        <w:t>磋商文件能够详细列明招标标的的技术、服务要求的，磋商结束后，磋商小组应当要求所有实质性响应的供应商在规定时间内提交最后报价，提交最后报价的供应商不得少于三家。或磋商文件不能详细列明招标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pPr>
        <w:pStyle w:val="2"/>
        <w:widowControl/>
        <w:numPr>
          <w:ilvl w:val="0"/>
          <w:numId w:val="68"/>
        </w:numPr>
        <w:ind w:left="0" w:leftChars="0" w:firstLine="480" w:firstLineChars="0"/>
        <w:rPr>
          <w:b w:val="0"/>
        </w:rPr>
      </w:pPr>
      <w: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2"/>
        <w:widowControl/>
        <w:numPr>
          <w:ilvl w:val="0"/>
          <w:numId w:val="68"/>
        </w:numPr>
        <w:ind w:left="0" w:leftChars="0" w:firstLine="480" w:firstLineChars="0"/>
        <w:rPr>
          <w:b w:val="0"/>
        </w:rPr>
      </w:pPr>
      <w:r>
        <w:t>供应商最后报价应当由法定代表人/主要负责人/本人或其授权代表签字确认或加盖公章。最后报价是供应商响应文件的有效组成部分。</w:t>
      </w:r>
    </w:p>
    <w:p>
      <w:pPr>
        <w:pStyle w:val="2"/>
        <w:widowControl/>
        <w:numPr>
          <w:ilvl w:val="0"/>
          <w:numId w:val="68"/>
        </w:numPr>
        <w:ind w:left="0" w:leftChars="0" w:firstLine="480" w:firstLineChars="0"/>
        <w:rPr>
          <w:b w:val="0"/>
        </w:rPr>
      </w:pPr>
      <w: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widowControl/>
        <w:numPr>
          <w:ilvl w:val="0"/>
          <w:numId w:val="63"/>
        </w:numPr>
        <w:ind w:left="0" w:leftChars="0" w:firstLine="480" w:firstLineChars="0"/>
        <w:rPr>
          <w:b w:val="0"/>
        </w:rPr>
      </w:pPr>
      <w:r>
        <w:t>比较与评价。由磋商小组采用综合评分法对提交最后报价的供应商的响应文件和最后报价进行综合评分，具体要求详见本章综合评分部分。</w:t>
      </w:r>
    </w:p>
    <w:p>
      <w:pPr>
        <w:pStyle w:val="2"/>
        <w:widowControl/>
        <w:numPr>
          <w:ilvl w:val="0"/>
          <w:numId w:val="63"/>
        </w:numPr>
        <w:ind w:left="0" w:leftChars="0" w:firstLine="480" w:firstLineChars="0"/>
        <w:rPr>
          <w:b w:val="0"/>
        </w:rPr>
      </w:pPr>
      <w:r>
        <w:t>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pStyle w:val="2"/>
        <w:widowControl/>
        <w:numPr>
          <w:ilvl w:val="0"/>
          <w:numId w:val="63"/>
        </w:numPr>
        <w:ind w:left="0" w:leftChars="0" w:firstLine="480" w:firstLineChars="0"/>
        <w:rPr>
          <w:b w:val="0"/>
        </w:rPr>
      </w:pPr>
      <w:r>
        <w:t>磋商小组复核。磋商小组评分汇总结束后，磋商小组应当进行评审复核，对拟推荐为成交候选供应商的、报价最低的、供应商资格审查未通过的、供应商响应文件作无效处理的重点复核。</w:t>
      </w:r>
    </w:p>
    <w:p>
      <w:pPr>
        <w:pStyle w:val="2"/>
        <w:widowControl/>
        <w:numPr>
          <w:ilvl w:val="0"/>
          <w:numId w:val="63"/>
        </w:numPr>
        <w:ind w:left="0" w:leftChars="0" w:firstLine="480" w:firstLineChars="0"/>
        <w:rPr>
          <w:b w:val="0"/>
        </w:rPr>
      </w:pPr>
      <w:r>
        <w:t>招标组织单位现场复核评审结果。</w:t>
      </w:r>
    </w:p>
    <w:p>
      <w:pPr>
        <w:pStyle w:val="2"/>
        <w:widowControl/>
        <w:numPr>
          <w:ilvl w:val="0"/>
          <w:numId w:val="69"/>
        </w:numPr>
        <w:ind w:left="0" w:leftChars="0" w:firstLine="480" w:firstLineChars="0"/>
        <w:rPr>
          <w:b w:val="0"/>
        </w:rPr>
      </w:pPr>
      <w:r>
        <w:t>评审结果汇总完成后，磋商小组拟出具磋商评审报告前，采购人/采购代理机构应当组织2名以上的本单位工作人员，在招标现场监督人员的监督之下，依据有关的法律制度和磋商文件对评审结果进行复核，出具复核报告，存在下列情形之一的，采购人/采购代理机构应当根据情况书面建议磋商小组现场修改评审结果：</w:t>
      </w:r>
    </w:p>
    <w:p>
      <w:pPr>
        <w:pStyle w:val="2"/>
        <w:widowControl/>
        <w:numPr>
          <w:ilvl w:val="0"/>
          <w:numId w:val="70"/>
        </w:numPr>
        <w:topLinePunct w:val="0"/>
        <w:ind w:left="0" w:leftChars="0" w:firstLine="480" w:firstLineChars="0"/>
        <w:rPr>
          <w:b w:val="0"/>
        </w:rPr>
      </w:pPr>
      <w:r>
        <w:t>资格性审查认定错误的；</w:t>
      </w:r>
    </w:p>
    <w:p>
      <w:pPr>
        <w:pStyle w:val="2"/>
        <w:widowControl/>
        <w:numPr>
          <w:ilvl w:val="0"/>
          <w:numId w:val="70"/>
        </w:numPr>
        <w:topLinePunct w:val="0"/>
        <w:ind w:left="0" w:leftChars="0" w:firstLine="480" w:firstLineChars="0"/>
        <w:rPr>
          <w:b w:val="0"/>
        </w:rPr>
      </w:pPr>
      <w:r>
        <w:t>分值汇总计算错误的；</w:t>
      </w:r>
    </w:p>
    <w:p>
      <w:pPr>
        <w:pStyle w:val="2"/>
        <w:widowControl/>
        <w:numPr>
          <w:ilvl w:val="0"/>
          <w:numId w:val="70"/>
        </w:numPr>
        <w:topLinePunct w:val="0"/>
        <w:ind w:left="0" w:leftChars="0" w:firstLine="480" w:firstLineChars="0"/>
        <w:rPr>
          <w:b w:val="0"/>
        </w:rPr>
      </w:pPr>
      <w:r>
        <w:t>分项评分超出评分标准范围的；</w:t>
      </w:r>
    </w:p>
    <w:p>
      <w:pPr>
        <w:pStyle w:val="2"/>
        <w:widowControl/>
        <w:numPr>
          <w:ilvl w:val="0"/>
          <w:numId w:val="70"/>
        </w:numPr>
        <w:topLinePunct w:val="0"/>
        <w:ind w:left="0" w:leftChars="0" w:firstLine="480" w:firstLineChars="0"/>
        <w:rPr>
          <w:b w:val="0"/>
        </w:rPr>
      </w:pPr>
      <w:r>
        <w:t>客观评分不一致的。</w:t>
      </w:r>
    </w:p>
    <w:p>
      <w:pPr>
        <w:pStyle w:val="2"/>
        <w:widowControl/>
      </w:pPr>
      <w: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w:t>
      </w:r>
    </w:p>
    <w:p>
      <w:pPr>
        <w:pStyle w:val="2"/>
        <w:widowControl/>
      </w:pPr>
      <w:r>
        <w:t>购人/采购代理机构书面建议的，应当书面说明理由。采购人/采购代理机构书面建议未被磋商小组采纳的，应当接照规定程序要求继续组织实施招标活动，不得擅自中止招标活动。采购人/采购代理机构认为磋商小组评审结果不合法的，应当书面报告招标项目同级财政部门。</w:t>
      </w:r>
    </w:p>
    <w:p>
      <w:pPr>
        <w:pStyle w:val="2"/>
        <w:widowControl/>
      </w:pPr>
      <w:r>
        <w:t>采购人/采购代理机构复核过程中，磋商小组成员不得离开评审现场。</w:t>
      </w:r>
    </w:p>
    <w:p>
      <w:pPr>
        <w:pStyle w:val="2"/>
        <w:widowControl/>
        <w:numPr>
          <w:ilvl w:val="0"/>
          <w:numId w:val="69"/>
        </w:numPr>
        <w:ind w:left="0" w:leftChars="0" w:firstLine="480" w:firstLineChars="0"/>
        <w:rPr>
          <w:b w:val="0"/>
        </w:rPr>
      </w:pPr>
      <w:r>
        <w:t>有下列情形之一的，不得现场修改评审结果：</w:t>
      </w:r>
    </w:p>
    <w:p>
      <w:pPr>
        <w:pStyle w:val="2"/>
        <w:widowControl/>
        <w:numPr>
          <w:ilvl w:val="0"/>
          <w:numId w:val="71"/>
        </w:numPr>
        <w:topLinePunct w:val="0"/>
        <w:ind w:left="0" w:leftChars="0" w:firstLine="480" w:firstLineChars="0"/>
        <w:rPr>
          <w:b w:val="0"/>
        </w:rPr>
      </w:pPr>
      <w:r>
        <w:t>磋商小组已经出具磋商报告并且离开评审现场的；</w:t>
      </w:r>
    </w:p>
    <w:p>
      <w:pPr>
        <w:pStyle w:val="2"/>
        <w:widowControl/>
        <w:numPr>
          <w:ilvl w:val="0"/>
          <w:numId w:val="71"/>
        </w:numPr>
        <w:topLinePunct w:val="0"/>
        <w:ind w:left="0" w:leftChars="0" w:firstLine="480" w:firstLineChars="0"/>
        <w:rPr>
          <w:b w:val="0"/>
        </w:rPr>
      </w:pPr>
      <w:r>
        <w:t>采购人/采购代理机构现场复核时，复核工作人员数量不足的；</w:t>
      </w:r>
    </w:p>
    <w:p>
      <w:pPr>
        <w:pStyle w:val="2"/>
        <w:widowControl/>
        <w:numPr>
          <w:ilvl w:val="0"/>
          <w:numId w:val="71"/>
        </w:numPr>
        <w:topLinePunct w:val="0"/>
        <w:ind w:left="0" w:leftChars="0" w:firstLine="480" w:firstLineChars="0"/>
        <w:rPr>
          <w:b w:val="0"/>
        </w:rPr>
      </w:pPr>
      <w:r>
        <w:t>采购人/采购代理机构现场复核时，没有招标监督人员现场监督的；</w:t>
      </w:r>
    </w:p>
    <w:p>
      <w:pPr>
        <w:pStyle w:val="2"/>
        <w:widowControl/>
        <w:numPr>
          <w:ilvl w:val="0"/>
          <w:numId w:val="71"/>
        </w:numPr>
        <w:topLinePunct w:val="0"/>
        <w:ind w:left="0" w:leftChars="0" w:firstLine="480" w:firstLineChars="0"/>
        <w:rPr>
          <w:b w:val="0"/>
        </w:rPr>
      </w:pPr>
      <w:r>
        <w:t>采购人/采购代理机构现场复核内容超出规定范围的；</w:t>
      </w:r>
    </w:p>
    <w:p>
      <w:pPr>
        <w:pStyle w:val="2"/>
        <w:widowControl/>
        <w:numPr>
          <w:ilvl w:val="0"/>
          <w:numId w:val="71"/>
        </w:numPr>
        <w:topLinePunct w:val="0"/>
        <w:ind w:left="0" w:leftChars="0" w:firstLine="480" w:firstLineChars="0"/>
        <w:rPr>
          <w:b w:val="0"/>
        </w:rPr>
      </w:pPr>
      <w:r>
        <w:t>采购人/采购代理机构未提供书面建议的。</w:t>
      </w:r>
    </w:p>
    <w:p>
      <w:pPr>
        <w:pStyle w:val="2"/>
        <w:widowControl/>
        <w:numPr>
          <w:ilvl w:val="0"/>
          <w:numId w:val="63"/>
        </w:numPr>
        <w:ind w:left="0" w:leftChars="0" w:firstLine="480" w:firstLineChars="0"/>
        <w:rPr>
          <w:b w:val="0"/>
        </w:rPr>
      </w:pPr>
      <w:r>
        <w:t>编写磋商报告。磋商小组推荐成交候选供应商后，应向采购人/采购代理机构出具磋商报告。磋商报告应当包括以下主要内容：</w:t>
      </w:r>
    </w:p>
    <w:p>
      <w:pPr>
        <w:pStyle w:val="2"/>
        <w:widowControl/>
        <w:numPr>
          <w:ilvl w:val="0"/>
          <w:numId w:val="72"/>
        </w:numPr>
        <w:topLinePunct w:val="0"/>
        <w:ind w:left="0" w:leftChars="0" w:firstLine="480" w:firstLineChars="0"/>
        <w:rPr>
          <w:b w:val="0"/>
        </w:rPr>
      </w:pPr>
      <w:r>
        <w:t>邀请供应商参加招标活动的具体方式和相关情况；</w:t>
      </w:r>
    </w:p>
    <w:p>
      <w:pPr>
        <w:pStyle w:val="2"/>
        <w:widowControl/>
        <w:numPr>
          <w:ilvl w:val="0"/>
          <w:numId w:val="72"/>
        </w:numPr>
        <w:topLinePunct w:val="0"/>
        <w:ind w:left="0" w:leftChars="0" w:firstLine="480" w:firstLineChars="0"/>
        <w:rPr>
          <w:b w:val="0"/>
        </w:rPr>
      </w:pPr>
      <w:r>
        <w:t>响应文件开启日期和地点；</w:t>
      </w:r>
    </w:p>
    <w:p>
      <w:pPr>
        <w:pStyle w:val="2"/>
        <w:widowControl/>
        <w:numPr>
          <w:ilvl w:val="0"/>
          <w:numId w:val="72"/>
        </w:numPr>
        <w:topLinePunct w:val="0"/>
        <w:ind w:left="0" w:leftChars="0" w:firstLine="480" w:firstLineChars="0"/>
        <w:rPr>
          <w:b w:val="0"/>
        </w:rPr>
      </w:pPr>
      <w:r>
        <w:t>获取磋商文件的供应商名单和磋商小组成员名单；</w:t>
      </w:r>
    </w:p>
    <w:p>
      <w:pPr>
        <w:pStyle w:val="2"/>
        <w:widowControl/>
        <w:numPr>
          <w:ilvl w:val="0"/>
          <w:numId w:val="72"/>
        </w:numPr>
        <w:topLinePunct w:val="0"/>
        <w:ind w:left="0" w:leftChars="0" w:firstLine="480" w:firstLineChars="0"/>
        <w:rPr>
          <w:b w:val="0"/>
        </w:rPr>
      </w:pPr>
      <w:r>
        <w:t>评审情况记录和说明，包括对供应商的资格审查情况、供应商响应文件审查情况、磋商情况、报价情况等；</w:t>
      </w:r>
    </w:p>
    <w:p>
      <w:pPr>
        <w:pStyle w:val="2"/>
        <w:widowControl/>
        <w:numPr>
          <w:ilvl w:val="0"/>
          <w:numId w:val="72"/>
        </w:numPr>
        <w:topLinePunct w:val="0"/>
        <w:ind w:left="0" w:leftChars="0" w:firstLine="480" w:firstLineChars="0"/>
        <w:rPr>
          <w:b w:val="0"/>
        </w:rPr>
      </w:pPr>
      <w:r>
        <w:t>提出的成交候选供应商的排序名单及理由。</w:t>
      </w:r>
    </w:p>
    <w:p>
      <w:pPr>
        <w:pStyle w:val="2"/>
        <w:widowControl/>
      </w:pPr>
      <w:r>
        <w:t>磋商报告应当由磋商小组全体人员签字认可。磋商小组成员对磋商报告有异议的，磋商小组按照少数服从多数的原则推荐成交候选供应商，招标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2"/>
        <w:widowControl/>
        <w:numPr>
          <w:ilvl w:val="0"/>
          <w:numId w:val="63"/>
        </w:numPr>
        <w:ind w:left="0" w:leftChars="0" w:firstLine="480" w:firstLineChars="0"/>
        <w:rPr>
          <w:b w:val="0"/>
        </w:rPr>
      </w:pPr>
      <w: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2"/>
        <w:widowControl/>
        <w:numPr>
          <w:ilvl w:val="0"/>
          <w:numId w:val="63"/>
        </w:numPr>
        <w:ind w:left="0" w:leftChars="0" w:firstLine="480" w:firstLineChars="0"/>
        <w:rPr>
          <w:b w:val="0"/>
        </w:rPr>
      </w:pPr>
      <w:r>
        <w:t>供应商澄清、说明</w:t>
      </w:r>
    </w:p>
    <w:p>
      <w:pPr>
        <w:pStyle w:val="2"/>
        <w:widowControl/>
        <w:numPr>
          <w:ilvl w:val="0"/>
          <w:numId w:val="73"/>
        </w:numPr>
        <w:ind w:left="0" w:leftChars="0" w:firstLine="480" w:firstLineChars="0"/>
        <w:rPr>
          <w:b w:val="0"/>
        </w:rPr>
      </w:pPr>
      <w: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
        <w:widowControl/>
        <w:numPr>
          <w:ilvl w:val="0"/>
          <w:numId w:val="73"/>
        </w:numPr>
        <w:ind w:left="0" w:leftChars="0" w:firstLine="480" w:firstLineChars="0"/>
        <w:rPr>
          <w:b w:val="0"/>
        </w:rPr>
      </w:pPr>
      <w:r>
        <w:t>磋商小组要求供应商澄清、说明或者更正响应文件应当以书面形式作出。供应商的澄清、说明或者更正应当由法定代表人/主要负责人/本人或其授权代表签字或者加盖公章。</w:t>
      </w:r>
    </w:p>
    <w:p>
      <w:pPr>
        <w:pStyle w:val="2"/>
        <w:widowControl/>
        <w:numPr>
          <w:ilvl w:val="0"/>
          <w:numId w:val="63"/>
        </w:numPr>
        <w:ind w:left="0" w:leftChars="0" w:firstLine="480" w:firstLineChars="0"/>
        <w:rPr>
          <w:b w:val="0"/>
        </w:rPr>
      </w:pPr>
      <w:r>
        <w:t>终止磋商招标活动。</w:t>
      </w:r>
    </w:p>
    <w:p>
      <w:pPr>
        <w:pStyle w:val="2"/>
        <w:widowControl/>
      </w:pPr>
      <w:r>
        <w:t>出现下列情形之一的，采购人或者采购代理机构应当终止竞争性磋商招标活动，发布项目终止公告并说明原因，重新开展招标活动：</w:t>
      </w:r>
    </w:p>
    <w:p>
      <w:pPr>
        <w:pStyle w:val="2"/>
        <w:widowControl/>
        <w:numPr>
          <w:ilvl w:val="0"/>
          <w:numId w:val="74"/>
        </w:numPr>
        <w:topLinePunct w:val="0"/>
        <w:ind w:left="0" w:leftChars="0" w:firstLine="480" w:firstLineChars="0"/>
        <w:rPr>
          <w:b w:val="0"/>
        </w:rPr>
      </w:pPr>
      <w:r>
        <w:t>因情况变化，不再符合规定的竞争性磋商招标方式适用情形的；</w:t>
      </w:r>
    </w:p>
    <w:p>
      <w:pPr>
        <w:pStyle w:val="2"/>
        <w:widowControl/>
        <w:numPr>
          <w:ilvl w:val="0"/>
          <w:numId w:val="74"/>
        </w:numPr>
        <w:topLinePunct w:val="0"/>
        <w:ind w:left="0" w:leftChars="0" w:firstLine="480" w:firstLineChars="0"/>
        <w:rPr>
          <w:b w:val="0"/>
        </w:rPr>
      </w:pPr>
      <w:r>
        <w:t>出现影响招标公正的违法、违规行为的；</w:t>
      </w:r>
    </w:p>
    <w:p>
      <w:pPr>
        <w:pStyle w:val="2"/>
        <w:widowControl/>
        <w:numPr>
          <w:ilvl w:val="0"/>
          <w:numId w:val="74"/>
        </w:numPr>
        <w:topLinePunct w:val="0"/>
        <w:ind w:left="0" w:leftChars="0" w:firstLine="480" w:firstLineChars="0"/>
        <w:rPr>
          <w:b w:val="0"/>
        </w:rPr>
      </w:pPr>
      <w:r>
        <w:t>在招标过程中符合要求的供应商或者报价未超过招标预算的供应商不足三家的。</w:t>
      </w:r>
    </w:p>
    <w:p>
      <w:pPr>
        <w:keepNext w:val="0"/>
        <w:keepLines w:val="0"/>
        <w:pageBreakBefore w:val="0"/>
        <w:widowControl/>
        <w:kinsoku w:val="0"/>
        <w:wordWrap/>
        <w:overflowPunct/>
        <w:topLinePunct w:val="0"/>
        <w:autoSpaceDE w:val="0"/>
        <w:autoSpaceDN w:val="0"/>
        <w:bidi w:val="0"/>
        <w:adjustRightInd w:val="0"/>
        <w:snapToGrid w:val="0"/>
        <w:spacing w:before="75" w:line="394" w:lineRule="exact"/>
        <w:ind w:left="819" w:leftChars="390" w:firstLine="488" w:firstLineChars="200"/>
        <w:textAlignment w:val="baseline"/>
        <w:outlineLvl w:val="9"/>
        <w:rPr>
          <w:rFonts w:hint="eastAsia" w:ascii="宋体" w:hAnsi="宋体" w:eastAsia="宋体" w:cs="宋体"/>
          <w:spacing w:val="7"/>
          <w:position w:val="2"/>
          <w:sz w:val="23"/>
          <w:szCs w:val="23"/>
          <w:lang w:val="en-US" w:eastAsia="zh-CN"/>
          <w14:textOutline w14:w="4358" w14:cap="sq" w14:cmpd="sng">
            <w14:solidFill>
              <w14:srgbClr w14:val="000000"/>
            </w14:solidFill>
            <w14:prstDash w14:val="solid"/>
            <w14:bevel/>
          </w14:textOutline>
        </w:rPr>
      </w:pPr>
    </w:p>
    <w:p>
      <w:pPr>
        <w:pStyle w:val="4"/>
        <w:widowControl/>
        <w:numPr>
          <w:ilvl w:val="0"/>
          <w:numId w:val="60"/>
        </w:numPr>
        <w:ind w:left="0" w:leftChars="0" w:firstLine="0" w:firstLineChars="0"/>
        <w:rPr>
          <w:b/>
        </w:rPr>
      </w:pPr>
      <w:r>
        <w:t>综合评分</w:t>
      </w:r>
    </w:p>
    <w:p>
      <w:pPr>
        <w:pStyle w:val="2"/>
        <w:widowControl/>
        <w:numPr>
          <w:ilvl w:val="0"/>
          <w:numId w:val="75"/>
        </w:numPr>
        <w:ind w:left="0" w:leftChars="0" w:firstLine="480" w:firstLineChars="0"/>
        <w:rPr>
          <w:b w:val="0"/>
        </w:rPr>
      </w:pPr>
      <w:r>
        <w:t>本次综合评分的因素是：报价、服务方案、人员配备、综合实力、履约能力、硬件设备配置等。</w:t>
      </w:r>
    </w:p>
    <w:p>
      <w:pPr>
        <w:pStyle w:val="2"/>
        <w:widowControl/>
        <w:numPr>
          <w:ilvl w:val="0"/>
          <w:numId w:val="75"/>
        </w:numPr>
        <w:ind w:left="0" w:leftChars="0" w:firstLine="480" w:firstLineChars="0"/>
        <w:rPr>
          <w:b w:val="0"/>
        </w:rPr>
      </w:pPr>
      <w: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招标政策功能、招标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
        <w:widowControl/>
        <w:numPr>
          <w:ilvl w:val="0"/>
          <w:numId w:val="75"/>
        </w:numPr>
        <w:ind w:left="0" w:leftChars="0" w:firstLine="480" w:firstLineChars="0"/>
        <w:rPr>
          <w:b w:val="0"/>
        </w:rPr>
      </w:pPr>
      <w:r>
        <w:t>综合评分明细表</w:t>
      </w:r>
    </w:p>
    <w:p>
      <w:pPr>
        <w:pStyle w:val="2"/>
        <w:widowControl/>
        <w:numPr>
          <w:ilvl w:val="0"/>
          <w:numId w:val="76"/>
        </w:numPr>
        <w:ind w:left="0" w:leftChars="0" w:firstLine="480" w:firstLineChars="0"/>
        <w:rPr>
          <w:b w:val="0"/>
        </w:rPr>
      </w:pPr>
      <w:r>
        <w:t>综合评分明细表的制定以科学合理、降低评委会自由裁量权为原则。</w:t>
      </w:r>
    </w:p>
    <w:bookmarkEnd w:id="107"/>
    <w:bookmarkEnd w:id="108"/>
    <w:p>
      <w:pPr>
        <w:pStyle w:val="2"/>
        <w:widowControl/>
        <w:numPr>
          <w:ilvl w:val="0"/>
          <w:numId w:val="76"/>
        </w:numPr>
        <w:ind w:left="0" w:leftChars="0" w:firstLine="480" w:firstLineChars="0"/>
        <w:rPr>
          <w:b w:val="0"/>
        </w:rPr>
      </w:pPr>
      <w:r>
        <w:t>综合评分明细表</w:t>
      </w:r>
    </w:p>
    <w:p>
      <w:pPr>
        <w:spacing w:line="149" w:lineRule="exact"/>
      </w:pPr>
    </w:p>
    <w:tbl>
      <w:tblPr>
        <w:tblStyle w:val="22"/>
        <w:tblW w:w="8874"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001"/>
        <w:gridCol w:w="908"/>
        <w:gridCol w:w="4492"/>
        <w:gridCol w:w="807"/>
        <w:gridCol w:w="1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6" w:hRule="atLeast"/>
        </w:trPr>
        <w:tc>
          <w:tcPr>
            <w:tcW w:w="556" w:type="dxa"/>
            <w:vAlign w:val="top"/>
          </w:tcPr>
          <w:p>
            <w:pPr>
              <w:spacing w:line="247" w:lineRule="auto"/>
              <w:jc w:val="center"/>
              <w:rPr>
                <w:rFonts w:ascii="Arial"/>
                <w:b/>
                <w:bCs/>
                <w:sz w:val="21"/>
              </w:rPr>
            </w:pPr>
          </w:p>
          <w:p>
            <w:pPr>
              <w:spacing w:line="247" w:lineRule="auto"/>
              <w:jc w:val="center"/>
              <w:rPr>
                <w:rFonts w:ascii="Arial"/>
                <w:b/>
                <w:bCs/>
                <w:sz w:val="21"/>
              </w:rPr>
            </w:pPr>
          </w:p>
          <w:p>
            <w:pPr>
              <w:spacing w:before="75" w:line="229" w:lineRule="auto"/>
              <w:jc w:val="center"/>
              <w:rPr>
                <w:rFonts w:ascii="宋体" w:hAnsi="宋体" w:eastAsia="宋体" w:cs="宋体"/>
                <w:b/>
                <w:bCs/>
                <w:sz w:val="23"/>
                <w:szCs w:val="23"/>
              </w:rPr>
            </w:pPr>
            <w:r>
              <w:rPr>
                <w:rFonts w:ascii="宋体" w:hAnsi="宋体" w:eastAsia="宋体" w:cs="宋体"/>
                <w:b/>
                <w:bCs/>
                <w:spacing w:val="6"/>
                <w:sz w:val="23"/>
                <w:szCs w:val="23"/>
                <w14:textOutline w14:w="4358" w14:cap="sq" w14:cmpd="sng">
                  <w14:solidFill>
                    <w14:srgbClr w14:val="000000"/>
                  </w14:solidFill>
                  <w14:prstDash w14:val="solid"/>
                  <w14:bevel/>
                </w14:textOutline>
              </w:rPr>
              <w:t>序</w:t>
            </w:r>
            <w:r>
              <w:rPr>
                <w:rFonts w:ascii="宋体" w:hAnsi="宋体" w:eastAsia="宋体" w:cs="宋体"/>
                <w:b/>
                <w:bCs/>
                <w:spacing w:val="5"/>
                <w:sz w:val="23"/>
                <w:szCs w:val="23"/>
                <w14:textOutline w14:w="4358" w14:cap="sq" w14:cmpd="sng">
                  <w14:solidFill>
                    <w14:srgbClr w14:val="000000"/>
                  </w14:solidFill>
                  <w14:prstDash w14:val="solid"/>
                  <w14:bevel/>
                </w14:textOutline>
              </w:rPr>
              <w:t>号</w:t>
            </w:r>
          </w:p>
        </w:tc>
        <w:tc>
          <w:tcPr>
            <w:tcW w:w="1001" w:type="dxa"/>
            <w:vAlign w:val="top"/>
          </w:tcPr>
          <w:p>
            <w:pPr>
              <w:spacing w:line="240" w:lineRule="auto"/>
              <w:jc w:val="center"/>
              <w:rPr>
                <w:rFonts w:hint="eastAsia" w:ascii="宋体" w:eastAsia="宋体" w:cs="宋体"/>
                <w:b/>
                <w:bCs/>
                <w:sz w:val="18"/>
                <w:szCs w:val="18"/>
                <w:lang w:val="zh-CN" w:eastAsia="zh-CN" w:bidi="ar-SA"/>
              </w:rPr>
            </w:pPr>
          </w:p>
          <w:p>
            <w:pPr>
              <w:spacing w:line="240" w:lineRule="auto"/>
              <w:jc w:val="center"/>
              <w:rPr>
                <w:rFonts w:hint="eastAsia" w:ascii="宋体" w:eastAsia="宋体" w:cs="宋体"/>
                <w:b/>
                <w:bCs/>
                <w:sz w:val="21"/>
                <w:szCs w:val="21"/>
                <w:lang w:val="zh-CN" w:eastAsia="zh-CN" w:bidi="ar-SA"/>
              </w:rPr>
            </w:pPr>
          </w:p>
          <w:p>
            <w:pPr>
              <w:spacing w:line="240" w:lineRule="auto"/>
              <w:jc w:val="center"/>
              <w:rPr>
                <w:rFonts w:hint="eastAsia" w:ascii="宋体" w:eastAsia="宋体" w:cs="宋体"/>
                <w:b/>
                <w:bCs/>
                <w:sz w:val="18"/>
                <w:szCs w:val="18"/>
                <w:lang w:val="zh-CN" w:eastAsia="zh-CN" w:bidi="ar-SA"/>
              </w:rPr>
            </w:pPr>
            <w:r>
              <w:rPr>
                <w:rFonts w:hint="eastAsia" w:ascii="宋体" w:eastAsia="宋体" w:cs="宋体"/>
                <w:b/>
                <w:bCs/>
                <w:sz w:val="21"/>
                <w:szCs w:val="21"/>
                <w:lang w:val="zh-CN" w:eastAsia="zh-CN" w:bidi="ar-SA"/>
              </w:rPr>
              <w:t>评分因素及权值</w:t>
            </w:r>
          </w:p>
        </w:tc>
        <w:tc>
          <w:tcPr>
            <w:tcW w:w="908" w:type="dxa"/>
            <w:vAlign w:val="top"/>
          </w:tcPr>
          <w:p>
            <w:pPr>
              <w:spacing w:line="247" w:lineRule="auto"/>
              <w:jc w:val="center"/>
              <w:rPr>
                <w:rFonts w:ascii="Arial"/>
                <w:b/>
                <w:bCs/>
                <w:sz w:val="21"/>
              </w:rPr>
            </w:pPr>
          </w:p>
          <w:p>
            <w:pPr>
              <w:spacing w:line="247" w:lineRule="auto"/>
              <w:jc w:val="center"/>
              <w:rPr>
                <w:rFonts w:ascii="Arial"/>
                <w:b/>
                <w:bCs/>
                <w:sz w:val="21"/>
              </w:rPr>
            </w:pPr>
          </w:p>
          <w:p>
            <w:pPr>
              <w:spacing w:before="75" w:line="227" w:lineRule="auto"/>
              <w:jc w:val="center"/>
              <w:rPr>
                <w:rFonts w:ascii="宋体" w:hAnsi="宋体" w:eastAsia="宋体" w:cs="宋体"/>
                <w:b/>
                <w:bCs/>
                <w:sz w:val="23"/>
                <w:szCs w:val="23"/>
              </w:rPr>
            </w:pPr>
            <w:r>
              <w:rPr>
                <w:rFonts w:ascii="宋体" w:hAnsi="宋体" w:eastAsia="宋体" w:cs="宋体"/>
                <w:b/>
                <w:bCs/>
                <w:i w:val="0"/>
                <w:iCs w:val="0"/>
                <w:spacing w:val="4"/>
                <w:sz w:val="23"/>
                <w:szCs w:val="23"/>
                <w14:textOutline w14:w="4358" w14:cap="sq" w14:cmpd="sng">
                  <w14:solidFill>
                    <w14:srgbClr w14:val="000000"/>
                  </w14:solidFill>
                  <w14:prstDash w14:val="solid"/>
                  <w14:bevel/>
                </w14:textOutline>
              </w:rPr>
              <w:t>分</w:t>
            </w:r>
            <w:r>
              <w:rPr>
                <w:rFonts w:ascii="宋体" w:hAnsi="宋体" w:eastAsia="宋体" w:cs="宋体"/>
                <w:b/>
                <w:bCs/>
                <w:i w:val="0"/>
                <w:iCs w:val="0"/>
                <w:spacing w:val="3"/>
                <w:sz w:val="23"/>
                <w:szCs w:val="23"/>
                <w14:textOutline w14:w="4358" w14:cap="sq" w14:cmpd="sng">
                  <w14:solidFill>
                    <w14:srgbClr w14:val="000000"/>
                  </w14:solidFill>
                  <w14:prstDash w14:val="solid"/>
                  <w14:bevel/>
                </w14:textOutline>
              </w:rPr>
              <w:t>值</w:t>
            </w:r>
          </w:p>
        </w:tc>
        <w:tc>
          <w:tcPr>
            <w:tcW w:w="4492" w:type="dxa"/>
            <w:shd w:val="clear" w:color="auto" w:fill="FFFFFF"/>
            <w:vAlign w:val="top"/>
          </w:tcPr>
          <w:p>
            <w:pPr>
              <w:spacing w:line="247" w:lineRule="auto"/>
              <w:jc w:val="center"/>
              <w:rPr>
                <w:rFonts w:ascii="Arial"/>
                <w:b/>
                <w:bCs/>
                <w:sz w:val="21"/>
              </w:rPr>
            </w:pPr>
          </w:p>
          <w:p>
            <w:pPr>
              <w:spacing w:line="248" w:lineRule="auto"/>
              <w:jc w:val="center"/>
              <w:rPr>
                <w:rFonts w:ascii="Arial"/>
                <w:b/>
                <w:bCs/>
                <w:sz w:val="21"/>
              </w:rPr>
            </w:pPr>
          </w:p>
          <w:p>
            <w:pPr>
              <w:spacing w:before="74" w:line="228" w:lineRule="auto"/>
              <w:jc w:val="center"/>
              <w:rPr>
                <w:rFonts w:ascii="宋体" w:hAnsi="宋体" w:eastAsia="宋体" w:cs="宋体"/>
                <w:b/>
                <w:bCs/>
                <w:sz w:val="23"/>
                <w:szCs w:val="23"/>
              </w:rPr>
            </w:pPr>
            <w:r>
              <w:rPr>
                <w:rFonts w:ascii="宋体" w:hAnsi="宋体" w:eastAsia="宋体" w:cs="宋体"/>
                <w:b/>
                <w:bCs/>
                <w:spacing w:val="9"/>
                <w:sz w:val="23"/>
                <w:szCs w:val="23"/>
                <w14:textOutline w14:w="4358" w14:cap="sq" w14:cmpd="sng">
                  <w14:solidFill>
                    <w14:srgbClr w14:val="000000"/>
                  </w14:solidFill>
                  <w14:prstDash w14:val="solid"/>
                  <w14:bevel/>
                </w14:textOutline>
              </w:rPr>
              <w:t>评</w:t>
            </w:r>
            <w:r>
              <w:rPr>
                <w:rFonts w:ascii="宋体" w:hAnsi="宋体" w:eastAsia="宋体" w:cs="宋体"/>
                <w:b/>
                <w:bCs/>
                <w:spacing w:val="8"/>
                <w:sz w:val="23"/>
                <w:szCs w:val="23"/>
                <w14:textOutline w14:w="4358" w14:cap="sq" w14:cmpd="sng">
                  <w14:solidFill>
                    <w14:srgbClr w14:val="000000"/>
                  </w14:solidFill>
                  <w14:prstDash w14:val="solid"/>
                  <w14:bevel/>
                </w14:textOutline>
              </w:rPr>
              <w:t>分标准</w:t>
            </w:r>
          </w:p>
        </w:tc>
        <w:tc>
          <w:tcPr>
            <w:tcW w:w="807" w:type="dxa"/>
            <w:vAlign w:val="top"/>
          </w:tcPr>
          <w:p>
            <w:pPr>
              <w:spacing w:line="247" w:lineRule="auto"/>
              <w:jc w:val="center"/>
              <w:rPr>
                <w:rFonts w:ascii="Arial"/>
                <w:b/>
                <w:bCs/>
                <w:sz w:val="21"/>
              </w:rPr>
            </w:pPr>
          </w:p>
          <w:p>
            <w:pPr>
              <w:spacing w:line="247" w:lineRule="auto"/>
              <w:jc w:val="center"/>
              <w:rPr>
                <w:rFonts w:ascii="Arial"/>
                <w:b/>
                <w:bCs/>
                <w:sz w:val="21"/>
              </w:rPr>
            </w:pPr>
          </w:p>
          <w:p>
            <w:pPr>
              <w:spacing w:before="75" w:line="227" w:lineRule="auto"/>
              <w:jc w:val="center"/>
              <w:rPr>
                <w:rFonts w:ascii="宋体" w:hAnsi="宋体" w:eastAsia="宋体" w:cs="宋体"/>
                <w:b/>
                <w:bCs/>
                <w:sz w:val="23"/>
                <w:szCs w:val="23"/>
              </w:rPr>
            </w:pPr>
            <w:r>
              <w:rPr>
                <w:rFonts w:ascii="宋体" w:hAnsi="宋体" w:eastAsia="宋体" w:cs="宋体"/>
                <w:b/>
                <w:bCs/>
                <w:spacing w:val="4"/>
                <w:sz w:val="23"/>
                <w:szCs w:val="23"/>
                <w14:textOutline w14:w="4358" w14:cap="sq" w14:cmpd="sng">
                  <w14:solidFill>
                    <w14:srgbClr w14:val="000000"/>
                  </w14:solidFill>
                  <w14:prstDash w14:val="solid"/>
                  <w14:bevel/>
                </w14:textOutline>
              </w:rPr>
              <w:t>说</w:t>
            </w:r>
            <w:r>
              <w:rPr>
                <w:rFonts w:ascii="宋体" w:hAnsi="宋体" w:eastAsia="宋体" w:cs="宋体"/>
                <w:b/>
                <w:bCs/>
                <w:spacing w:val="3"/>
                <w:sz w:val="23"/>
                <w:szCs w:val="23"/>
                <w14:textOutline w14:w="4358" w14:cap="sq" w14:cmpd="sng">
                  <w14:solidFill>
                    <w14:srgbClr w14:val="000000"/>
                  </w14:solidFill>
                  <w14:prstDash w14:val="solid"/>
                  <w14:bevel/>
                </w14:textOutline>
              </w:rPr>
              <w:t>明</w:t>
            </w:r>
          </w:p>
        </w:tc>
        <w:tc>
          <w:tcPr>
            <w:tcW w:w="1110" w:type="dxa"/>
            <w:vAlign w:val="top"/>
          </w:tcPr>
          <w:p>
            <w:pPr>
              <w:spacing w:before="169" w:line="216" w:lineRule="auto"/>
              <w:jc w:val="center"/>
              <w:rPr>
                <w:rFonts w:ascii="宋体" w:hAnsi="宋体" w:eastAsia="宋体" w:cs="宋体"/>
                <w:b/>
                <w:bCs/>
                <w:sz w:val="23"/>
                <w:szCs w:val="23"/>
              </w:rPr>
            </w:pPr>
            <w:r>
              <w:rPr>
                <w:rFonts w:ascii="宋体" w:hAnsi="宋体" w:eastAsia="宋体" w:cs="宋体"/>
                <w:b/>
                <w:bCs/>
                <w:spacing w:val="54"/>
                <w:sz w:val="23"/>
                <w:szCs w:val="23"/>
                <w14:textOutline w14:w="4358" w14:cap="sq" w14:cmpd="sng">
                  <w14:solidFill>
                    <w14:srgbClr w14:val="000000"/>
                  </w14:solidFill>
                  <w14:prstDash w14:val="solid"/>
                  <w14:bevel/>
                </w14:textOutline>
              </w:rPr>
              <w:t>评</w:t>
            </w:r>
            <w:r>
              <w:rPr>
                <w:rFonts w:ascii="宋体" w:hAnsi="宋体" w:eastAsia="宋体" w:cs="宋体"/>
                <w:b/>
                <w:bCs/>
                <w:spacing w:val="54"/>
                <w:sz w:val="23"/>
                <w:szCs w:val="23"/>
              </w:rPr>
              <w:t xml:space="preserve"> </w:t>
            </w:r>
            <w:r>
              <w:rPr>
                <w:rFonts w:ascii="宋体" w:hAnsi="宋体" w:eastAsia="宋体" w:cs="宋体"/>
                <w:b/>
                <w:bCs/>
                <w:spacing w:val="54"/>
                <w:sz w:val="23"/>
                <w:szCs w:val="23"/>
                <w14:textOutline w14:w="4358" w14:cap="sq" w14:cmpd="sng">
                  <w14:solidFill>
                    <w14:srgbClr w14:val="000000"/>
                  </w14:solidFill>
                  <w14:prstDash w14:val="solid"/>
                  <w14:bevel/>
                </w14:textOutline>
              </w:rPr>
              <w:t>审</w:t>
            </w:r>
            <w:r>
              <w:rPr>
                <w:rFonts w:ascii="宋体" w:hAnsi="宋体" w:eastAsia="宋体" w:cs="宋体"/>
                <w:b/>
                <w:bCs/>
                <w:spacing w:val="54"/>
                <w:sz w:val="23"/>
                <w:szCs w:val="23"/>
              </w:rPr>
              <w:t xml:space="preserve"> </w:t>
            </w:r>
            <w:r>
              <w:rPr>
                <w:rFonts w:ascii="宋体" w:hAnsi="宋体" w:eastAsia="宋体" w:cs="宋体"/>
                <w:b/>
                <w:bCs/>
                <w:spacing w:val="54"/>
                <w:sz w:val="23"/>
                <w:szCs w:val="23"/>
                <w14:textOutline w14:w="4358" w14:cap="sq" w14:cmpd="sng">
                  <w14:solidFill>
                    <w14:srgbClr w14:val="000000"/>
                  </w14:solidFill>
                  <w14:prstDash w14:val="solid"/>
                  <w14:bevel/>
                </w14:textOutline>
              </w:rPr>
              <w:t>分</w:t>
            </w:r>
            <w:r>
              <w:rPr>
                <w:rFonts w:ascii="宋体" w:hAnsi="宋体" w:eastAsia="宋体" w:cs="宋体"/>
                <w:b/>
                <w:bCs/>
                <w:spacing w:val="54"/>
                <w:sz w:val="23"/>
                <w:szCs w:val="23"/>
              </w:rPr>
              <w:t xml:space="preserve"> </w:t>
            </w:r>
            <w:r>
              <w:rPr>
                <w:rFonts w:ascii="宋体" w:hAnsi="宋体" w:eastAsia="宋体" w:cs="宋体"/>
                <w:b/>
                <w:bCs/>
                <w:spacing w:val="54"/>
                <w:sz w:val="23"/>
                <w:szCs w:val="23"/>
                <w14:textOutline w14:w="4358"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556" w:type="dxa"/>
            <w:vAlign w:val="top"/>
          </w:tcPr>
          <w:p>
            <w:pPr>
              <w:spacing w:line="252" w:lineRule="auto"/>
              <w:jc w:val="center"/>
              <w:rPr>
                <w:rFonts w:ascii="Arial"/>
                <w:sz w:val="21"/>
              </w:rPr>
            </w:pPr>
          </w:p>
          <w:p>
            <w:pPr>
              <w:spacing w:line="252" w:lineRule="auto"/>
              <w:jc w:val="center"/>
              <w:rPr>
                <w:rFonts w:ascii="Arial"/>
                <w:sz w:val="21"/>
              </w:rPr>
            </w:pPr>
          </w:p>
          <w:p>
            <w:pPr>
              <w:spacing w:line="252" w:lineRule="auto"/>
              <w:jc w:val="center"/>
              <w:rPr>
                <w:rFonts w:ascii="Arial"/>
                <w:sz w:val="21"/>
              </w:rPr>
            </w:pPr>
          </w:p>
          <w:p>
            <w:pPr>
              <w:spacing w:before="75" w:line="192" w:lineRule="auto"/>
              <w:jc w:val="center"/>
              <w:rPr>
                <w:rFonts w:ascii="宋体" w:hAnsi="宋体" w:eastAsia="宋体" w:cs="宋体"/>
                <w:sz w:val="23"/>
                <w:szCs w:val="23"/>
              </w:rPr>
            </w:pPr>
            <w:r>
              <w:rPr>
                <w:rFonts w:ascii="宋体" w:hAnsi="宋体" w:eastAsia="宋体" w:cs="宋体"/>
                <w:sz w:val="23"/>
                <w:szCs w:val="23"/>
              </w:rPr>
              <w:t>1</w:t>
            </w:r>
          </w:p>
        </w:tc>
        <w:tc>
          <w:tcPr>
            <w:tcW w:w="1001" w:type="dxa"/>
            <w:vAlign w:val="top"/>
          </w:tcPr>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r>
              <w:rPr>
                <w:rFonts w:hint="eastAsia" w:ascii="宋体" w:eastAsia="宋体" w:cs="宋体"/>
                <w:b/>
                <w:bCs w:val="0"/>
                <w:sz w:val="18"/>
                <w:szCs w:val="18"/>
                <w:lang w:val="zh-CN" w:eastAsia="zh-CN" w:bidi="ar-SA"/>
              </w:rPr>
              <w:t>报价</w:t>
            </w:r>
          </w:p>
          <w:p>
            <w:pPr>
              <w:spacing w:line="240" w:lineRule="auto"/>
              <w:jc w:val="center"/>
              <w:rPr>
                <w:rFonts w:hint="eastAsia" w:ascii="宋体" w:eastAsia="宋体" w:cs="宋体"/>
                <w:b/>
                <w:bCs w:val="0"/>
                <w:sz w:val="18"/>
                <w:szCs w:val="18"/>
                <w:lang w:val="zh-CN" w:eastAsia="zh-CN" w:bidi="ar-SA"/>
              </w:rPr>
            </w:pPr>
            <w:r>
              <w:rPr>
                <w:rFonts w:hint="eastAsia" w:ascii="宋体" w:eastAsia="宋体" w:cs="宋体"/>
                <w:b/>
                <w:bCs w:val="0"/>
                <w:sz w:val="18"/>
                <w:szCs w:val="18"/>
                <w:lang w:val="en-US" w:eastAsia="zh-CN" w:bidi="ar-SA"/>
              </w:rPr>
              <w:t>20</w:t>
            </w:r>
            <w:r>
              <w:rPr>
                <w:rFonts w:hint="eastAsia" w:ascii="宋体" w:eastAsia="宋体" w:cs="宋体"/>
                <w:b/>
                <w:bCs w:val="0"/>
                <w:sz w:val="18"/>
                <w:szCs w:val="18"/>
                <w:lang w:val="zh-CN" w:eastAsia="zh-CN" w:bidi="ar-SA"/>
              </w:rPr>
              <w:t>%</w:t>
            </w:r>
          </w:p>
        </w:tc>
        <w:tc>
          <w:tcPr>
            <w:tcW w:w="908" w:type="dxa"/>
            <w:shd w:val="clear" w:color="auto" w:fill="FFFFFF"/>
            <w:vAlign w:val="top"/>
          </w:tcPr>
          <w:p>
            <w:pPr>
              <w:spacing w:line="244" w:lineRule="auto"/>
              <w:jc w:val="center"/>
              <w:rPr>
                <w:rFonts w:ascii="Arial"/>
                <w:sz w:val="21"/>
              </w:rPr>
            </w:pPr>
          </w:p>
          <w:p>
            <w:pPr>
              <w:spacing w:line="244" w:lineRule="auto"/>
              <w:jc w:val="center"/>
              <w:rPr>
                <w:rFonts w:ascii="Arial"/>
                <w:sz w:val="21"/>
              </w:rPr>
            </w:pPr>
          </w:p>
          <w:p>
            <w:pPr>
              <w:spacing w:line="245" w:lineRule="auto"/>
              <w:jc w:val="center"/>
              <w:rPr>
                <w:rFonts w:ascii="Arial"/>
                <w:sz w:val="21"/>
              </w:rPr>
            </w:pPr>
          </w:p>
          <w:p>
            <w:pPr>
              <w:spacing w:before="74" w:line="228" w:lineRule="auto"/>
              <w:jc w:val="center"/>
              <w:rPr>
                <w:rFonts w:ascii="宋体" w:hAnsi="宋体" w:eastAsia="宋体" w:cs="宋体"/>
                <w:sz w:val="23"/>
                <w:szCs w:val="23"/>
              </w:rPr>
            </w:pPr>
            <w:r>
              <w:rPr>
                <w:rFonts w:hint="eastAsia" w:ascii="宋体" w:hAnsi="宋体" w:eastAsia="宋体" w:cs="宋体"/>
                <w:spacing w:val="-14"/>
                <w:sz w:val="23"/>
                <w:szCs w:val="23"/>
                <w:lang w:val="en-US" w:eastAsia="zh-CN"/>
              </w:rPr>
              <w:t>20</w:t>
            </w:r>
            <w:r>
              <w:rPr>
                <w:rFonts w:ascii="宋体" w:hAnsi="宋体" w:eastAsia="宋体" w:cs="宋体"/>
                <w:spacing w:val="-11"/>
                <w:sz w:val="23"/>
                <w:szCs w:val="23"/>
              </w:rPr>
              <w:t>分</w:t>
            </w:r>
          </w:p>
        </w:tc>
        <w:tc>
          <w:tcPr>
            <w:tcW w:w="4492" w:type="dxa"/>
            <w:shd w:val="clear" w:color="auto" w:fill="FFFFFF"/>
            <w:vAlign w:val="top"/>
          </w:tcPr>
          <w:p>
            <w:pPr>
              <w:spacing w:line="240" w:lineRule="auto"/>
              <w:jc w:val="left"/>
              <w:rPr>
                <w:rFonts w:hint="eastAsia" w:ascii="宋体" w:eastAsia="宋体" w:cs="宋体"/>
                <w:bCs/>
                <w:sz w:val="18"/>
                <w:szCs w:val="18"/>
                <w:lang w:val="zh-CN" w:eastAsia="zh-CN" w:bidi="ar-SA"/>
              </w:rPr>
            </w:pPr>
            <w:r>
              <w:rPr>
                <w:rFonts w:hint="eastAsia" w:ascii="宋体" w:cs="宋体"/>
                <w:bCs/>
                <w:sz w:val="18"/>
                <w:szCs w:val="18"/>
                <w:lang w:val="zh-CN" w:eastAsia="zh-CN" w:bidi="ar-SA"/>
              </w:rPr>
              <w:t>满</w:t>
            </w:r>
            <w:r>
              <w:rPr>
                <w:rFonts w:hint="eastAsia" w:ascii="宋体" w:eastAsia="宋体" w:cs="宋体"/>
                <w:bCs/>
                <w:sz w:val="18"/>
                <w:szCs w:val="18"/>
                <w:lang w:val="zh-CN" w:eastAsia="zh-CN" w:bidi="ar-SA"/>
              </w:rPr>
              <w:t>足磋商文件要求且最后报价最低的供应商的价格为基准价，其价格分为满分。其他供应商的价格分统一按照下列公式计算：投标报价得分=（基准价/投标报价）×</w:t>
            </w:r>
            <w:r>
              <w:rPr>
                <w:rFonts w:hint="eastAsia" w:ascii="宋体" w:eastAsia="宋体" w:cs="宋体"/>
                <w:bCs/>
                <w:sz w:val="18"/>
                <w:szCs w:val="18"/>
                <w:lang w:bidi="ar-SA"/>
              </w:rPr>
              <w:t>20</w:t>
            </w:r>
            <w:r>
              <w:rPr>
                <w:rFonts w:hint="eastAsia" w:ascii="宋体" w:eastAsia="宋体" w:cs="宋体"/>
                <w:bCs/>
                <w:sz w:val="18"/>
                <w:szCs w:val="18"/>
                <w:lang w:val="zh-CN" w:eastAsia="zh-CN" w:bidi="ar-SA"/>
              </w:rPr>
              <w:t>×100%。</w:t>
            </w:r>
          </w:p>
          <w:p>
            <w:pPr>
              <w:bidi w:val="0"/>
              <w:rPr>
                <w:rFonts w:hint="eastAsia" w:eastAsia="宋体"/>
                <w:sz w:val="18"/>
                <w:szCs w:val="18"/>
                <w:lang w:eastAsia="zh-CN"/>
              </w:rPr>
            </w:pPr>
            <w:r>
              <w:rPr>
                <w:rFonts w:hint="eastAsia" w:ascii="宋体" w:eastAsia="宋体" w:cs="宋体"/>
                <w:bCs/>
                <w:sz w:val="18"/>
                <w:szCs w:val="18"/>
                <w:lang w:val="zh-CN" w:eastAsia="zh-CN" w:bidi="ar-SA"/>
              </w:rPr>
              <w:t>注：小微企业（残疾人福利性单位、监狱企业视同小微企业，价格扣除按照</w:t>
            </w:r>
            <w:r>
              <w:rPr>
                <w:rFonts w:hint="eastAsia" w:ascii="宋体" w:eastAsia="宋体" w:cs="宋体"/>
                <w:bCs/>
                <w:sz w:val="18"/>
                <w:szCs w:val="18"/>
                <w:lang w:bidi="ar-SA"/>
              </w:rPr>
              <w:t>本</w:t>
            </w:r>
            <w:r>
              <w:rPr>
                <w:rFonts w:hint="eastAsia" w:ascii="宋体" w:eastAsia="宋体" w:cs="宋体"/>
                <w:bCs/>
                <w:sz w:val="18"/>
                <w:szCs w:val="18"/>
                <w:lang w:val="zh-CN" w:eastAsia="zh-CN" w:bidi="ar-SA"/>
              </w:rPr>
              <w:t>磋商</w:t>
            </w:r>
            <w:r>
              <w:rPr>
                <w:rFonts w:hint="eastAsia" w:ascii="宋体" w:eastAsia="宋体" w:cs="宋体"/>
                <w:bCs/>
                <w:sz w:val="18"/>
                <w:szCs w:val="18"/>
                <w:lang w:bidi="ar-SA"/>
              </w:rPr>
              <w:t>文件第二</w:t>
            </w:r>
            <w:r>
              <w:rPr>
                <w:rFonts w:hint="eastAsia" w:ascii="宋体" w:cs="宋体"/>
                <w:bCs/>
                <w:sz w:val="18"/>
                <w:szCs w:val="18"/>
                <w:lang w:bidi="ar-SA"/>
              </w:rPr>
              <w:t>章投标人须知附表执行。</w:t>
            </w:r>
            <w:r>
              <w:rPr>
                <w:rFonts w:hint="eastAsia" w:ascii="宋体" w:cs="宋体"/>
                <w:bCs/>
                <w:sz w:val="18"/>
                <w:szCs w:val="18"/>
                <w:lang w:val="zh-CN" w:eastAsia="zh-CN" w:bidi="ar-SA"/>
              </w:rPr>
              <w:t>）</w:t>
            </w:r>
            <w:r>
              <w:rPr>
                <w:rFonts w:hint="eastAsia" w:eastAsia="宋体"/>
                <w:sz w:val="18"/>
                <w:szCs w:val="18"/>
                <w:lang w:eastAsia="zh-CN"/>
              </w:rPr>
              <w:tab/>
            </w:r>
          </w:p>
        </w:tc>
        <w:tc>
          <w:tcPr>
            <w:tcW w:w="807" w:type="dxa"/>
            <w:vAlign w:val="top"/>
          </w:tcPr>
          <w:p>
            <w:pPr>
              <w:spacing w:before="75" w:line="381" w:lineRule="auto"/>
              <w:ind w:right="127"/>
              <w:jc w:val="center"/>
              <w:rPr>
                <w:rFonts w:ascii="宋体" w:hAnsi="宋体" w:eastAsia="宋体" w:cs="宋体"/>
                <w:sz w:val="23"/>
                <w:szCs w:val="23"/>
              </w:rPr>
            </w:pPr>
            <w:r>
              <w:rPr>
                <w:rFonts w:hint="eastAsia" w:ascii="宋体" w:eastAsia="宋体" w:cs="宋体"/>
                <w:bCs/>
                <w:sz w:val="18"/>
                <w:szCs w:val="18"/>
                <w:lang w:val="zh-CN" w:eastAsia="zh-CN" w:bidi="ar-SA"/>
              </w:rPr>
              <w:t>按须知前附表规定执行</w:t>
            </w:r>
          </w:p>
        </w:tc>
        <w:tc>
          <w:tcPr>
            <w:tcW w:w="1110" w:type="dxa"/>
            <w:vAlign w:val="top"/>
          </w:tcPr>
          <w:p>
            <w:pPr>
              <w:spacing w:before="186" w:line="214" w:lineRule="auto"/>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价格类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trPr>
        <w:tc>
          <w:tcPr>
            <w:tcW w:w="556" w:type="dxa"/>
            <w:vAlign w:val="top"/>
          </w:tcPr>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0"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line="261" w:lineRule="auto"/>
              <w:jc w:val="center"/>
              <w:rPr>
                <w:rFonts w:ascii="Arial"/>
                <w:sz w:val="21"/>
              </w:rPr>
            </w:pPr>
          </w:p>
          <w:p>
            <w:pPr>
              <w:spacing w:before="74" w:line="192" w:lineRule="auto"/>
              <w:jc w:val="center"/>
              <w:rPr>
                <w:rFonts w:ascii="宋体" w:hAnsi="宋体" w:eastAsia="宋体" w:cs="宋体"/>
                <w:sz w:val="23"/>
                <w:szCs w:val="23"/>
              </w:rPr>
            </w:pPr>
            <w:r>
              <w:rPr>
                <w:rFonts w:ascii="宋体" w:hAnsi="宋体" w:eastAsia="宋体" w:cs="宋体"/>
                <w:sz w:val="23"/>
                <w:szCs w:val="23"/>
              </w:rPr>
              <w:t>2</w:t>
            </w:r>
          </w:p>
        </w:tc>
        <w:tc>
          <w:tcPr>
            <w:tcW w:w="1001" w:type="dxa"/>
            <w:shd w:val="clear" w:color="auto" w:fill="FFFFFF"/>
            <w:vAlign w:val="top"/>
          </w:tcPr>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r>
              <w:rPr>
                <w:rFonts w:hint="eastAsia" w:ascii="宋体" w:eastAsia="宋体" w:cs="宋体"/>
                <w:b/>
                <w:bCs w:val="0"/>
                <w:sz w:val="18"/>
                <w:szCs w:val="18"/>
                <w:lang w:val="zh-CN" w:eastAsia="zh-CN" w:bidi="ar-SA"/>
              </w:rPr>
              <w:t xml:space="preserve">技术方案 </w:t>
            </w:r>
            <w:r>
              <w:rPr>
                <w:rFonts w:hint="eastAsia" w:ascii="宋体" w:eastAsia="宋体" w:cs="宋体"/>
                <w:b/>
                <w:bCs w:val="0"/>
                <w:sz w:val="18"/>
                <w:szCs w:val="18"/>
                <w:lang w:val="en-US" w:eastAsia="zh-CN" w:bidi="ar-SA"/>
              </w:rPr>
              <w:t>4</w:t>
            </w:r>
            <w:r>
              <w:rPr>
                <w:rFonts w:hint="eastAsia" w:ascii="宋体" w:eastAsia="宋体" w:cs="宋体"/>
                <w:b/>
                <w:bCs w:val="0"/>
                <w:sz w:val="18"/>
                <w:szCs w:val="18"/>
                <w:lang w:val="zh-CN" w:eastAsia="zh-CN" w:bidi="ar-SA"/>
              </w:rPr>
              <w:t>5%</w:t>
            </w:r>
          </w:p>
        </w:tc>
        <w:tc>
          <w:tcPr>
            <w:tcW w:w="908" w:type="dxa"/>
            <w:shd w:val="clear" w:color="auto" w:fill="FFFFFF"/>
            <w:vAlign w:val="top"/>
          </w:tcPr>
          <w:p>
            <w:pPr>
              <w:spacing w:line="263" w:lineRule="auto"/>
              <w:jc w:val="center"/>
              <w:rPr>
                <w:rFonts w:ascii="Arial"/>
                <w:sz w:val="21"/>
              </w:rPr>
            </w:pPr>
          </w:p>
          <w:p>
            <w:pPr>
              <w:spacing w:line="263" w:lineRule="auto"/>
              <w:jc w:val="center"/>
              <w:rPr>
                <w:rFonts w:ascii="Arial"/>
                <w:sz w:val="21"/>
              </w:rPr>
            </w:pPr>
          </w:p>
          <w:p>
            <w:pPr>
              <w:spacing w:line="263" w:lineRule="auto"/>
              <w:jc w:val="center"/>
              <w:rPr>
                <w:rFonts w:ascii="Arial"/>
                <w:sz w:val="21"/>
              </w:rPr>
            </w:pPr>
          </w:p>
          <w:p>
            <w:pPr>
              <w:spacing w:line="263" w:lineRule="auto"/>
              <w:jc w:val="center"/>
              <w:rPr>
                <w:rFonts w:ascii="Arial"/>
                <w:sz w:val="21"/>
              </w:rPr>
            </w:pPr>
          </w:p>
          <w:p>
            <w:pPr>
              <w:spacing w:line="264" w:lineRule="auto"/>
              <w:jc w:val="center"/>
              <w:rPr>
                <w:rFonts w:ascii="Arial"/>
                <w:sz w:val="21"/>
              </w:rPr>
            </w:pPr>
          </w:p>
          <w:p>
            <w:pPr>
              <w:spacing w:line="264" w:lineRule="auto"/>
              <w:jc w:val="center"/>
              <w:rPr>
                <w:rFonts w:ascii="Arial"/>
                <w:sz w:val="21"/>
              </w:rPr>
            </w:pPr>
          </w:p>
          <w:p>
            <w:pPr>
              <w:spacing w:line="264" w:lineRule="auto"/>
              <w:jc w:val="center"/>
              <w:rPr>
                <w:rFonts w:ascii="Arial"/>
                <w:sz w:val="21"/>
              </w:rPr>
            </w:pPr>
          </w:p>
          <w:p>
            <w:pPr>
              <w:spacing w:line="264" w:lineRule="auto"/>
              <w:jc w:val="center"/>
              <w:rPr>
                <w:rFonts w:ascii="Arial"/>
                <w:sz w:val="21"/>
              </w:rPr>
            </w:pPr>
          </w:p>
          <w:p>
            <w:pPr>
              <w:spacing w:before="74" w:line="228" w:lineRule="auto"/>
              <w:ind w:left="151"/>
              <w:jc w:val="center"/>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10"/>
                <w:sz w:val="23"/>
                <w:szCs w:val="23"/>
              </w:rPr>
              <w:t>5 分</w:t>
            </w:r>
          </w:p>
        </w:tc>
        <w:tc>
          <w:tcPr>
            <w:tcW w:w="4492" w:type="dxa"/>
            <w:vAlign w:val="top"/>
          </w:tcPr>
          <w:p>
            <w:pPr>
              <w:numPr>
                <w:ilvl w:val="0"/>
                <w:numId w:val="0"/>
              </w:numPr>
              <w:spacing w:before="193" w:line="240" w:lineRule="auto"/>
              <w:ind w:left="115" w:leftChars="0" w:right="102" w:rightChars="0" w:firstLine="15" w:firstLineChars="0"/>
              <w:rPr>
                <w:rFonts w:ascii="宋体" w:hAnsi="宋体" w:eastAsia="宋体" w:cs="宋体"/>
                <w:spacing w:val="-3"/>
                <w:sz w:val="18"/>
                <w:szCs w:val="18"/>
              </w:rPr>
            </w:pPr>
            <w:r>
              <w:rPr>
                <w:rFonts w:ascii="宋体" w:hAnsi="宋体" w:eastAsia="宋体" w:cs="宋体"/>
                <w:snapToGrid w:val="0"/>
                <w:color w:val="000000"/>
                <w:spacing w:val="-3"/>
                <w:kern w:val="0"/>
                <w:sz w:val="18"/>
                <w:szCs w:val="18"/>
              </w:rPr>
              <w:t>1、</w:t>
            </w:r>
            <w:r>
              <w:rPr>
                <w:rFonts w:ascii="宋体" w:hAnsi="宋体" w:eastAsia="宋体" w:cs="宋体"/>
                <w:spacing w:val="8"/>
                <w:sz w:val="18"/>
                <w:szCs w:val="18"/>
              </w:rPr>
              <w:t>供应商针对本项目拟定服务方案，包括但不限</w:t>
            </w:r>
            <w:r>
              <w:rPr>
                <w:rFonts w:ascii="宋体" w:hAnsi="宋体" w:eastAsia="宋体" w:cs="宋体"/>
                <w:sz w:val="18"/>
                <w:szCs w:val="18"/>
              </w:rPr>
              <w:t xml:space="preserve"> </w:t>
            </w:r>
            <w:r>
              <w:rPr>
                <w:rFonts w:ascii="宋体" w:hAnsi="宋体" w:eastAsia="宋体" w:cs="宋体"/>
                <w:spacing w:val="10"/>
                <w:sz w:val="18"/>
                <w:szCs w:val="18"/>
              </w:rPr>
              <w:t>于①人</w:t>
            </w:r>
            <w:r>
              <w:rPr>
                <w:rFonts w:ascii="宋体" w:hAnsi="宋体" w:eastAsia="宋体" w:cs="宋体"/>
                <w:spacing w:val="7"/>
                <w:sz w:val="18"/>
                <w:szCs w:val="18"/>
              </w:rPr>
              <w:t>员</w:t>
            </w:r>
            <w:r>
              <w:rPr>
                <w:rFonts w:ascii="宋体" w:hAnsi="宋体" w:eastAsia="宋体" w:cs="宋体"/>
                <w:spacing w:val="5"/>
                <w:sz w:val="18"/>
                <w:szCs w:val="18"/>
              </w:rPr>
              <w:t>驻场运维服务方案、②技术支持服务方案</w:t>
            </w:r>
            <w:r>
              <w:rPr>
                <w:rFonts w:ascii="宋体" w:hAnsi="宋体" w:eastAsia="宋体" w:cs="宋体"/>
                <w:sz w:val="18"/>
                <w:szCs w:val="18"/>
              </w:rPr>
              <w:t xml:space="preserve"> </w:t>
            </w:r>
            <w:r>
              <w:rPr>
                <w:rFonts w:ascii="宋体" w:hAnsi="宋体" w:eastAsia="宋体" w:cs="宋体"/>
                <w:spacing w:val="1"/>
                <w:sz w:val="18"/>
                <w:szCs w:val="18"/>
              </w:rPr>
              <w:t>等，方案包含以上 2 点</w:t>
            </w:r>
            <w:r>
              <w:rPr>
                <w:rFonts w:ascii="宋体" w:hAnsi="宋体" w:eastAsia="宋体" w:cs="宋体"/>
                <w:sz w:val="18"/>
                <w:szCs w:val="18"/>
              </w:rPr>
              <w:t xml:space="preserve">内容，内容完善且与本项目 </w:t>
            </w:r>
            <w:r>
              <w:rPr>
                <w:rFonts w:ascii="宋体" w:hAnsi="宋体" w:eastAsia="宋体" w:cs="宋体"/>
                <w:spacing w:val="-4"/>
                <w:sz w:val="18"/>
                <w:szCs w:val="18"/>
              </w:rPr>
              <w:t>匹配的得 30 分；每缺失一点内容扣 15 分；每</w:t>
            </w:r>
            <w:r>
              <w:rPr>
                <w:rFonts w:ascii="宋体" w:hAnsi="宋体" w:eastAsia="宋体" w:cs="宋体"/>
                <w:spacing w:val="-3"/>
                <w:sz w:val="18"/>
                <w:szCs w:val="18"/>
              </w:rPr>
              <w:t>有</w:t>
            </w:r>
            <w:r>
              <w:rPr>
                <w:rFonts w:ascii="宋体" w:hAnsi="宋体" w:eastAsia="宋体" w:cs="宋体"/>
                <w:sz w:val="18"/>
                <w:szCs w:val="18"/>
              </w:rPr>
              <w:t xml:space="preserve">一 </w:t>
            </w:r>
            <w:r>
              <w:rPr>
                <w:rFonts w:ascii="宋体" w:hAnsi="宋体" w:eastAsia="宋体" w:cs="宋体"/>
                <w:spacing w:val="10"/>
                <w:sz w:val="18"/>
                <w:szCs w:val="18"/>
              </w:rPr>
              <w:t>点内容</w:t>
            </w:r>
            <w:r>
              <w:rPr>
                <w:rFonts w:ascii="宋体" w:hAnsi="宋体" w:eastAsia="宋体" w:cs="宋体"/>
                <w:spacing w:val="7"/>
                <w:sz w:val="18"/>
                <w:szCs w:val="18"/>
              </w:rPr>
              <w:t>分</w:t>
            </w:r>
            <w:r>
              <w:rPr>
                <w:rFonts w:ascii="宋体" w:hAnsi="宋体" w:eastAsia="宋体" w:cs="宋体"/>
                <w:spacing w:val="5"/>
                <w:sz w:val="18"/>
                <w:szCs w:val="18"/>
              </w:rPr>
              <w:t>析深度不够，内容简单或与本项目不匹配</w:t>
            </w:r>
            <w:r>
              <w:rPr>
                <w:rFonts w:ascii="宋体" w:hAnsi="宋体" w:eastAsia="宋体" w:cs="宋体"/>
                <w:sz w:val="18"/>
                <w:szCs w:val="18"/>
              </w:rPr>
              <w:t xml:space="preserve"> </w:t>
            </w:r>
            <w:r>
              <w:rPr>
                <w:rFonts w:ascii="宋体" w:hAnsi="宋体" w:eastAsia="宋体" w:cs="宋体"/>
                <w:spacing w:val="-4"/>
                <w:sz w:val="18"/>
                <w:szCs w:val="18"/>
              </w:rPr>
              <w:t>的</w:t>
            </w:r>
            <w:r>
              <w:rPr>
                <w:rFonts w:ascii="宋体" w:hAnsi="宋体" w:eastAsia="宋体" w:cs="宋体"/>
                <w:spacing w:val="-3"/>
                <w:sz w:val="18"/>
                <w:szCs w:val="18"/>
              </w:rPr>
              <w:t>扣 5 分，扣完为止。</w:t>
            </w:r>
          </w:p>
          <w:p>
            <w:pPr>
              <w:numPr>
                <w:ilvl w:val="0"/>
                <w:numId w:val="0"/>
              </w:numPr>
              <w:spacing w:before="193" w:line="240" w:lineRule="auto"/>
              <w:ind w:left="115" w:leftChars="0" w:right="102" w:rightChars="0" w:firstLine="15" w:firstLineChars="0"/>
              <w:rPr>
                <w:rFonts w:ascii="宋体" w:hAnsi="宋体" w:eastAsia="宋体" w:cs="宋体"/>
                <w:sz w:val="18"/>
                <w:szCs w:val="18"/>
              </w:rPr>
            </w:pPr>
            <w:r>
              <w:rPr>
                <w:rFonts w:ascii="宋体" w:hAnsi="宋体" w:eastAsia="宋体" w:cs="宋体"/>
                <w:snapToGrid w:val="0"/>
                <w:color w:val="000000"/>
                <w:kern w:val="0"/>
                <w:sz w:val="18"/>
                <w:szCs w:val="18"/>
              </w:rPr>
              <w:t>2、</w:t>
            </w:r>
            <w:r>
              <w:rPr>
                <w:rFonts w:ascii="宋体" w:hAnsi="宋体" w:eastAsia="宋体" w:cs="宋体"/>
                <w:spacing w:val="13"/>
                <w:sz w:val="18"/>
                <w:szCs w:val="18"/>
              </w:rPr>
              <w:t>2</w:t>
            </w:r>
            <w:r>
              <w:rPr>
                <w:rFonts w:ascii="宋体" w:hAnsi="宋体" w:eastAsia="宋体" w:cs="宋体"/>
                <w:spacing w:val="9"/>
                <w:sz w:val="18"/>
                <w:szCs w:val="18"/>
              </w:rPr>
              <w:t>、供应商针对本项目拟定工作方案，包括但不限</w:t>
            </w:r>
            <w:r>
              <w:rPr>
                <w:rFonts w:ascii="宋体" w:hAnsi="宋体" w:eastAsia="宋体" w:cs="宋体"/>
                <w:sz w:val="18"/>
                <w:szCs w:val="18"/>
              </w:rPr>
              <w:t xml:space="preserve"> </w:t>
            </w:r>
            <w:r>
              <w:rPr>
                <w:rFonts w:ascii="宋体" w:hAnsi="宋体" w:eastAsia="宋体" w:cs="宋体"/>
                <w:spacing w:val="10"/>
                <w:sz w:val="18"/>
                <w:szCs w:val="18"/>
              </w:rPr>
              <w:t>于①工</w:t>
            </w:r>
            <w:r>
              <w:rPr>
                <w:rFonts w:ascii="宋体" w:hAnsi="宋体" w:eastAsia="宋体" w:cs="宋体"/>
                <w:spacing w:val="7"/>
                <w:sz w:val="18"/>
                <w:szCs w:val="18"/>
              </w:rPr>
              <w:t>作</w:t>
            </w:r>
            <w:r>
              <w:rPr>
                <w:rFonts w:ascii="宋体" w:hAnsi="宋体" w:eastAsia="宋体" w:cs="宋体"/>
                <w:spacing w:val="5"/>
                <w:sz w:val="18"/>
                <w:szCs w:val="18"/>
              </w:rPr>
              <w:t>目标，②工作计划，③对投入服务人员出</w:t>
            </w:r>
            <w:r>
              <w:rPr>
                <w:rFonts w:ascii="宋体" w:hAnsi="宋体" w:eastAsia="宋体" w:cs="宋体"/>
                <w:sz w:val="18"/>
                <w:szCs w:val="18"/>
              </w:rPr>
              <w:t xml:space="preserve"> </w:t>
            </w:r>
            <w:r>
              <w:rPr>
                <w:rFonts w:ascii="宋体" w:hAnsi="宋体" w:eastAsia="宋体" w:cs="宋体"/>
                <w:spacing w:val="10"/>
                <w:sz w:val="18"/>
                <w:szCs w:val="18"/>
              </w:rPr>
              <w:t>现无法</w:t>
            </w:r>
            <w:r>
              <w:rPr>
                <w:rFonts w:ascii="宋体" w:hAnsi="宋体" w:eastAsia="宋体" w:cs="宋体"/>
                <w:spacing w:val="7"/>
                <w:sz w:val="18"/>
                <w:szCs w:val="18"/>
              </w:rPr>
              <w:t>到</w:t>
            </w:r>
            <w:r>
              <w:rPr>
                <w:rFonts w:ascii="宋体" w:hAnsi="宋体" w:eastAsia="宋体" w:cs="宋体"/>
                <w:spacing w:val="5"/>
                <w:sz w:val="18"/>
                <w:szCs w:val="18"/>
              </w:rPr>
              <w:t>岗情况的应急预案措施等，方案包含以上</w:t>
            </w:r>
            <w:r>
              <w:rPr>
                <w:rFonts w:ascii="宋体" w:hAnsi="宋体" w:eastAsia="宋体" w:cs="宋体"/>
                <w:spacing w:val="1"/>
                <w:sz w:val="18"/>
                <w:szCs w:val="18"/>
              </w:rPr>
              <w:t>3 点内容，内容完善且与本项目</w:t>
            </w:r>
            <w:r>
              <w:rPr>
                <w:rFonts w:ascii="宋体" w:hAnsi="宋体" w:eastAsia="宋体" w:cs="宋体"/>
                <w:sz w:val="18"/>
                <w:szCs w:val="18"/>
              </w:rPr>
              <w:t xml:space="preserve">匹配的得 15 分； </w:t>
            </w:r>
            <w:r>
              <w:rPr>
                <w:rFonts w:ascii="宋体" w:hAnsi="宋体" w:eastAsia="宋体" w:cs="宋体"/>
                <w:spacing w:val="1"/>
                <w:sz w:val="18"/>
                <w:szCs w:val="18"/>
              </w:rPr>
              <w:t>每缺失一点内容扣 5 分；每</w:t>
            </w:r>
            <w:r>
              <w:rPr>
                <w:rFonts w:ascii="宋体" w:hAnsi="宋体" w:eastAsia="宋体" w:cs="宋体"/>
                <w:sz w:val="18"/>
                <w:szCs w:val="18"/>
              </w:rPr>
              <w:t>有一点内容分析深度不</w:t>
            </w:r>
            <w:r>
              <w:rPr>
                <w:rFonts w:ascii="宋体" w:hAnsi="宋体" w:eastAsia="宋体" w:cs="宋体"/>
                <w:spacing w:val="1"/>
                <w:sz w:val="18"/>
                <w:szCs w:val="18"/>
              </w:rPr>
              <w:t>够，内容简单或与本项目不匹配</w:t>
            </w:r>
            <w:r>
              <w:rPr>
                <w:rFonts w:ascii="宋体" w:hAnsi="宋体" w:eastAsia="宋体" w:cs="宋体"/>
                <w:sz w:val="18"/>
                <w:szCs w:val="18"/>
              </w:rPr>
              <w:t>的扣 2.5 分，扣完</w:t>
            </w:r>
            <w:r>
              <w:rPr>
                <w:rFonts w:ascii="宋体" w:hAnsi="宋体" w:eastAsia="宋体" w:cs="宋体"/>
                <w:spacing w:val="3"/>
                <w:sz w:val="18"/>
                <w:szCs w:val="18"/>
              </w:rPr>
              <w:t>为</w:t>
            </w:r>
            <w:r>
              <w:rPr>
                <w:rFonts w:ascii="宋体" w:hAnsi="宋体" w:eastAsia="宋体" w:cs="宋体"/>
                <w:spacing w:val="2"/>
                <w:sz w:val="18"/>
                <w:szCs w:val="18"/>
              </w:rPr>
              <w:t>止。</w:t>
            </w:r>
          </w:p>
        </w:tc>
        <w:tc>
          <w:tcPr>
            <w:tcW w:w="807" w:type="dxa"/>
            <w:vAlign w:val="top"/>
          </w:tcPr>
          <w:p>
            <w:pPr>
              <w:spacing w:line="258" w:lineRule="auto"/>
              <w:jc w:val="center"/>
              <w:rPr>
                <w:rFonts w:ascii="Arial"/>
                <w:sz w:val="21"/>
              </w:rPr>
            </w:pPr>
          </w:p>
          <w:p>
            <w:pPr>
              <w:spacing w:line="259" w:lineRule="auto"/>
              <w:jc w:val="center"/>
              <w:rPr>
                <w:rFonts w:ascii="Arial"/>
                <w:sz w:val="21"/>
              </w:rPr>
            </w:pPr>
          </w:p>
          <w:p>
            <w:pPr>
              <w:spacing w:before="74" w:line="384" w:lineRule="auto"/>
              <w:ind w:right="165"/>
              <w:jc w:val="center"/>
              <w:rPr>
                <w:rFonts w:ascii="宋体" w:hAnsi="宋体" w:eastAsia="宋体" w:cs="宋体"/>
                <w:sz w:val="23"/>
                <w:szCs w:val="23"/>
              </w:rPr>
            </w:pPr>
            <w:r>
              <w:rPr>
                <w:rFonts w:hint="eastAsia" w:ascii="宋体" w:eastAsia="宋体" w:cs="宋体"/>
                <w:bCs/>
                <w:sz w:val="18"/>
                <w:szCs w:val="18"/>
                <w:lang w:val="zh-CN" w:eastAsia="zh-CN" w:bidi="ar-SA"/>
              </w:rPr>
              <w:t>提供技术服务方案。</w:t>
            </w:r>
          </w:p>
        </w:tc>
        <w:tc>
          <w:tcPr>
            <w:tcW w:w="1110" w:type="dxa"/>
            <w:vAlign w:val="top"/>
          </w:tcPr>
          <w:p>
            <w:pPr>
              <w:spacing w:before="186" w:line="215" w:lineRule="auto"/>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技术类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556" w:type="dxa"/>
            <w:shd w:val="clear" w:color="auto" w:fill="auto"/>
            <w:vAlign w:val="top"/>
          </w:tcPr>
          <w:p>
            <w:pPr>
              <w:spacing w:line="272" w:lineRule="auto"/>
              <w:jc w:val="center"/>
              <w:rPr>
                <w:rFonts w:ascii="Arial"/>
                <w:sz w:val="21"/>
              </w:rPr>
            </w:pPr>
          </w:p>
          <w:p>
            <w:pPr>
              <w:spacing w:line="273" w:lineRule="auto"/>
              <w:jc w:val="center"/>
              <w:rPr>
                <w:rFonts w:ascii="Arial"/>
                <w:sz w:val="21"/>
              </w:rPr>
            </w:pPr>
          </w:p>
          <w:p>
            <w:pPr>
              <w:spacing w:before="74" w:line="190" w:lineRule="auto"/>
              <w:jc w:val="center"/>
              <w:rPr>
                <w:rFonts w:ascii="宋体" w:hAnsi="宋体" w:eastAsia="宋体" w:cs="宋体"/>
                <w:snapToGrid w:val="0"/>
                <w:color w:val="000000"/>
                <w:kern w:val="0"/>
                <w:sz w:val="23"/>
                <w:szCs w:val="23"/>
              </w:rPr>
            </w:pPr>
            <w:r>
              <w:rPr>
                <w:rFonts w:ascii="宋体" w:hAnsi="宋体" w:eastAsia="宋体" w:cs="宋体"/>
                <w:sz w:val="23"/>
                <w:szCs w:val="23"/>
              </w:rPr>
              <w:t>3</w:t>
            </w:r>
          </w:p>
        </w:tc>
        <w:tc>
          <w:tcPr>
            <w:tcW w:w="1001" w:type="dxa"/>
            <w:shd w:val="clear" w:color="auto" w:fill="auto"/>
            <w:vAlign w:val="top"/>
          </w:tcPr>
          <w:p>
            <w:pPr>
              <w:spacing w:line="240" w:lineRule="auto"/>
              <w:jc w:val="center"/>
              <w:rPr>
                <w:rFonts w:hint="eastAsia" w:ascii="宋体" w:eastAsia="宋体" w:cs="宋体"/>
                <w:b/>
                <w:bCs w:val="0"/>
                <w:sz w:val="18"/>
                <w:szCs w:val="18"/>
                <w:lang w:val="zh-CN" w:eastAsia="zh-CN" w:bidi="ar-SA"/>
              </w:rPr>
            </w:pPr>
            <w:r>
              <w:rPr>
                <w:rFonts w:hint="eastAsia" w:ascii="宋体" w:eastAsia="宋体" w:cs="宋体"/>
                <w:b/>
                <w:bCs w:val="0"/>
                <w:sz w:val="18"/>
                <w:szCs w:val="18"/>
                <w:lang w:val="zh-CN" w:eastAsia="zh-CN" w:bidi="ar-SA"/>
              </w:rPr>
              <w:t xml:space="preserve">人员配置 </w:t>
            </w:r>
            <w:r>
              <w:rPr>
                <w:rFonts w:hint="eastAsia" w:ascii="宋体" w:eastAsia="宋体" w:cs="宋体"/>
                <w:b/>
                <w:bCs w:val="0"/>
                <w:sz w:val="18"/>
                <w:szCs w:val="18"/>
                <w:lang w:val="en-US" w:eastAsia="zh-CN" w:bidi="ar-SA"/>
              </w:rPr>
              <w:t>15</w:t>
            </w:r>
            <w:r>
              <w:rPr>
                <w:rFonts w:hint="eastAsia" w:ascii="宋体" w:eastAsia="宋体" w:cs="宋体"/>
                <w:b/>
                <w:bCs w:val="0"/>
                <w:sz w:val="18"/>
                <w:szCs w:val="18"/>
                <w:lang w:val="zh-CN" w:eastAsia="zh-CN" w:bidi="ar-SA"/>
              </w:rPr>
              <w:t>%</w:t>
            </w:r>
          </w:p>
        </w:tc>
        <w:tc>
          <w:tcPr>
            <w:tcW w:w="908" w:type="dxa"/>
            <w:shd w:val="clear" w:color="auto" w:fill="auto"/>
            <w:vAlign w:val="top"/>
          </w:tcPr>
          <w:p>
            <w:pPr>
              <w:spacing w:line="253" w:lineRule="auto"/>
              <w:jc w:val="center"/>
              <w:rPr>
                <w:rFonts w:ascii="Arial"/>
                <w:sz w:val="21"/>
              </w:rPr>
            </w:pPr>
          </w:p>
          <w:p>
            <w:pPr>
              <w:spacing w:line="254" w:lineRule="auto"/>
              <w:jc w:val="center"/>
              <w:rPr>
                <w:rFonts w:ascii="Arial"/>
                <w:sz w:val="21"/>
              </w:rPr>
            </w:pPr>
          </w:p>
          <w:p>
            <w:pPr>
              <w:spacing w:before="75" w:line="228" w:lineRule="auto"/>
              <w:ind w:left="216" w:leftChars="0"/>
              <w:jc w:val="center"/>
              <w:rPr>
                <w:rFonts w:ascii="宋体" w:hAnsi="宋体" w:eastAsia="宋体" w:cs="宋体"/>
                <w:snapToGrid w:val="0"/>
                <w:color w:val="000000"/>
                <w:kern w:val="0"/>
                <w:sz w:val="23"/>
                <w:szCs w:val="23"/>
              </w:rPr>
            </w:pPr>
            <w:r>
              <w:rPr>
                <w:rFonts w:hint="eastAsia" w:ascii="宋体" w:hAnsi="宋体" w:eastAsia="宋体" w:cs="宋体"/>
                <w:spacing w:val="-18"/>
                <w:sz w:val="23"/>
                <w:szCs w:val="23"/>
                <w:lang w:val="en-US" w:eastAsia="zh-CN"/>
              </w:rPr>
              <w:t>1</w:t>
            </w:r>
            <w:r>
              <w:rPr>
                <w:rFonts w:ascii="宋体" w:hAnsi="宋体" w:eastAsia="宋体" w:cs="宋体"/>
                <w:spacing w:val="-18"/>
                <w:sz w:val="23"/>
                <w:szCs w:val="23"/>
              </w:rPr>
              <w:t>5</w:t>
            </w:r>
            <w:r>
              <w:rPr>
                <w:rFonts w:ascii="宋体" w:hAnsi="宋体" w:eastAsia="宋体" w:cs="宋体"/>
                <w:spacing w:val="-17"/>
                <w:sz w:val="23"/>
                <w:szCs w:val="23"/>
              </w:rPr>
              <w:t xml:space="preserve"> 分</w:t>
            </w:r>
          </w:p>
        </w:tc>
        <w:tc>
          <w:tcPr>
            <w:tcW w:w="4492" w:type="dxa"/>
            <w:shd w:val="clear" w:color="auto" w:fill="auto"/>
            <w:vAlign w:val="top"/>
          </w:tcPr>
          <w:p>
            <w:pPr>
              <w:numPr>
                <w:ilvl w:val="0"/>
                <w:numId w:val="0"/>
              </w:numPr>
              <w:spacing w:before="193" w:line="240" w:lineRule="auto"/>
              <w:ind w:left="115" w:leftChars="0" w:right="102" w:rightChars="0" w:firstLine="15" w:firstLineChars="0"/>
              <w:rPr>
                <w:rFonts w:ascii="宋体" w:hAnsi="宋体" w:eastAsia="宋体" w:cs="宋体"/>
                <w:spacing w:val="5"/>
                <w:sz w:val="18"/>
                <w:szCs w:val="18"/>
              </w:rPr>
            </w:pPr>
            <w:r>
              <w:rPr>
                <w:rFonts w:ascii="宋体" w:hAnsi="宋体" w:eastAsia="宋体" w:cs="宋体"/>
                <w:snapToGrid w:val="0"/>
                <w:color w:val="000000"/>
                <w:spacing w:val="5"/>
                <w:kern w:val="0"/>
                <w:sz w:val="18"/>
                <w:szCs w:val="18"/>
              </w:rPr>
              <w:t>3、</w:t>
            </w:r>
            <w:r>
              <w:rPr>
                <w:rFonts w:ascii="宋体" w:hAnsi="宋体" w:eastAsia="宋体" w:cs="宋体"/>
                <w:spacing w:val="5"/>
                <w:sz w:val="18"/>
                <w:szCs w:val="18"/>
              </w:rPr>
              <w:t>项目团队</w:t>
            </w:r>
            <w:r>
              <w:rPr>
                <w:rFonts w:hint="eastAsia" w:ascii="宋体" w:hAnsi="宋体" w:eastAsia="宋体" w:cs="宋体"/>
                <w:spacing w:val="5"/>
                <w:sz w:val="18"/>
                <w:szCs w:val="18"/>
                <w:lang w:val="en-US" w:eastAsia="zh-CN"/>
              </w:rPr>
              <w:t>入驻人数，5分/人，最高10分；</w:t>
            </w:r>
            <w:r>
              <w:rPr>
                <w:rFonts w:ascii="宋体" w:hAnsi="宋体" w:eastAsia="宋体" w:cs="宋体"/>
                <w:spacing w:val="5"/>
                <w:sz w:val="18"/>
                <w:szCs w:val="18"/>
              </w:rPr>
              <w:t>负责人具有本项目相关工作经验(如科技服务、信息系统建设与运营等)得5分，此项最高得5分。</w:t>
            </w:r>
          </w:p>
        </w:tc>
        <w:tc>
          <w:tcPr>
            <w:tcW w:w="807" w:type="dxa"/>
            <w:shd w:val="clear" w:color="auto" w:fill="FFFFFF"/>
            <w:vAlign w:val="top"/>
          </w:tcPr>
          <w:p>
            <w:pPr>
              <w:numPr>
                <w:ilvl w:val="0"/>
                <w:numId w:val="0"/>
              </w:numPr>
              <w:spacing w:before="193" w:line="240" w:lineRule="auto"/>
              <w:ind w:right="102" w:rightChars="0"/>
              <w:jc w:val="center"/>
              <w:rPr>
                <w:rFonts w:hint="eastAsia" w:ascii="宋体" w:hAnsi="宋体" w:eastAsia="宋体" w:cs="宋体"/>
                <w:spacing w:val="5"/>
                <w:sz w:val="18"/>
                <w:szCs w:val="18"/>
                <w:lang w:val="zh-CN" w:eastAsia="zh-CN"/>
              </w:rPr>
            </w:pPr>
            <w:r>
              <w:rPr>
                <w:rFonts w:ascii="宋体" w:hAnsi="宋体" w:eastAsia="宋体" w:cs="宋体"/>
                <w:spacing w:val="5"/>
                <w:sz w:val="18"/>
                <w:szCs w:val="18"/>
              </w:rPr>
              <w:t>提供相关证明材料</w:t>
            </w:r>
          </w:p>
        </w:tc>
        <w:tc>
          <w:tcPr>
            <w:tcW w:w="1110" w:type="dxa"/>
            <w:shd w:val="clear" w:color="auto" w:fill="auto"/>
            <w:vAlign w:val="top"/>
          </w:tcPr>
          <w:p>
            <w:pPr>
              <w:spacing w:before="186" w:line="214" w:lineRule="auto"/>
              <w:jc w:val="center"/>
              <w:rPr>
                <w:rFonts w:ascii="宋体" w:hAnsi="宋体" w:eastAsia="宋体" w:cs="宋体"/>
                <w:snapToGrid w:val="0"/>
                <w:color w:val="000000"/>
                <w:kern w:val="0"/>
                <w:sz w:val="23"/>
                <w:szCs w:val="23"/>
              </w:rPr>
            </w:pPr>
            <w:r>
              <w:rPr>
                <w:rFonts w:hint="eastAsia" w:ascii="宋体" w:hAnsi="宋体" w:eastAsia="宋体" w:cs="宋体"/>
                <w:spacing w:val="6"/>
                <w:sz w:val="23"/>
                <w:szCs w:val="23"/>
                <w:lang w:eastAsia="zh-CN"/>
              </w:rPr>
              <w:t>技术</w:t>
            </w:r>
            <w:r>
              <w:rPr>
                <w:rFonts w:ascii="宋体" w:hAnsi="宋体" w:eastAsia="宋体" w:cs="宋体"/>
                <w:spacing w:val="6"/>
                <w:sz w:val="23"/>
                <w:szCs w:val="23"/>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556" w:type="dxa"/>
            <w:shd w:val="clear" w:color="auto" w:fill="auto"/>
            <w:vAlign w:val="top"/>
          </w:tcPr>
          <w:p>
            <w:pPr>
              <w:spacing w:line="252"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line="253" w:lineRule="auto"/>
              <w:jc w:val="center"/>
              <w:rPr>
                <w:rFonts w:ascii="Arial"/>
                <w:sz w:val="21"/>
              </w:rPr>
            </w:pPr>
          </w:p>
          <w:p>
            <w:pPr>
              <w:spacing w:before="75" w:line="192" w:lineRule="auto"/>
              <w:jc w:val="center"/>
              <w:rPr>
                <w:rFonts w:ascii="宋体" w:hAnsi="宋体" w:eastAsia="宋体" w:cs="宋体"/>
                <w:snapToGrid w:val="0"/>
                <w:color w:val="000000"/>
                <w:kern w:val="0"/>
                <w:sz w:val="23"/>
                <w:szCs w:val="23"/>
              </w:rPr>
            </w:pPr>
            <w:r>
              <w:rPr>
                <w:rFonts w:ascii="宋体" w:hAnsi="宋体" w:eastAsia="宋体" w:cs="宋体"/>
                <w:sz w:val="23"/>
                <w:szCs w:val="23"/>
              </w:rPr>
              <w:t>4</w:t>
            </w:r>
          </w:p>
        </w:tc>
        <w:tc>
          <w:tcPr>
            <w:tcW w:w="1001" w:type="dxa"/>
            <w:shd w:val="clear" w:color="auto" w:fill="auto"/>
            <w:vAlign w:val="top"/>
          </w:tcPr>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p>
          <w:p>
            <w:pPr>
              <w:spacing w:line="240" w:lineRule="auto"/>
              <w:jc w:val="center"/>
              <w:rPr>
                <w:rFonts w:hint="eastAsia" w:ascii="宋体" w:eastAsia="宋体" w:cs="宋体"/>
                <w:b/>
                <w:bCs w:val="0"/>
                <w:sz w:val="18"/>
                <w:szCs w:val="18"/>
                <w:lang w:val="zh-CN" w:eastAsia="zh-CN" w:bidi="ar-SA"/>
              </w:rPr>
            </w:pPr>
            <w:r>
              <w:rPr>
                <w:rFonts w:hint="eastAsia" w:ascii="宋体" w:eastAsia="宋体" w:cs="宋体"/>
                <w:b/>
                <w:bCs w:val="0"/>
                <w:sz w:val="18"/>
                <w:szCs w:val="18"/>
                <w:lang w:val="zh-CN" w:eastAsia="zh-CN" w:bidi="ar-SA"/>
              </w:rPr>
              <w:t>履约能力 20%</w:t>
            </w:r>
          </w:p>
        </w:tc>
        <w:tc>
          <w:tcPr>
            <w:tcW w:w="908" w:type="dxa"/>
            <w:shd w:val="clear" w:color="auto" w:fill="auto"/>
            <w:vAlign w:val="top"/>
          </w:tcPr>
          <w:p>
            <w:pPr>
              <w:spacing w:line="243" w:lineRule="auto"/>
              <w:jc w:val="center"/>
              <w:rPr>
                <w:rFonts w:ascii="Arial"/>
                <w:sz w:val="21"/>
              </w:rPr>
            </w:pPr>
          </w:p>
          <w:p>
            <w:pPr>
              <w:spacing w:line="243" w:lineRule="auto"/>
              <w:jc w:val="center"/>
              <w:rPr>
                <w:rFonts w:ascii="Arial"/>
                <w:sz w:val="21"/>
              </w:rPr>
            </w:pPr>
          </w:p>
          <w:p>
            <w:pPr>
              <w:spacing w:line="244" w:lineRule="auto"/>
              <w:jc w:val="center"/>
              <w:rPr>
                <w:rFonts w:ascii="Arial"/>
                <w:sz w:val="21"/>
              </w:rPr>
            </w:pPr>
          </w:p>
          <w:p>
            <w:pPr>
              <w:spacing w:line="244" w:lineRule="auto"/>
              <w:jc w:val="center"/>
              <w:rPr>
                <w:rFonts w:ascii="Arial"/>
                <w:sz w:val="21"/>
              </w:rPr>
            </w:pPr>
          </w:p>
          <w:p>
            <w:pPr>
              <w:spacing w:before="74" w:line="228" w:lineRule="auto"/>
              <w:ind w:left="155" w:leftChars="0"/>
              <w:jc w:val="center"/>
              <w:rPr>
                <w:rFonts w:ascii="宋体" w:hAnsi="宋体" w:eastAsia="宋体" w:cs="宋体"/>
                <w:snapToGrid w:val="0"/>
                <w:color w:val="000000"/>
                <w:kern w:val="0"/>
                <w:sz w:val="23"/>
                <w:szCs w:val="23"/>
              </w:rPr>
            </w:pPr>
            <w:r>
              <w:rPr>
                <w:rFonts w:ascii="宋体" w:hAnsi="宋体" w:eastAsia="宋体" w:cs="宋体"/>
                <w:spacing w:val="-13"/>
                <w:sz w:val="23"/>
                <w:szCs w:val="23"/>
              </w:rPr>
              <w:t>2</w:t>
            </w:r>
            <w:r>
              <w:rPr>
                <w:rFonts w:ascii="宋体" w:hAnsi="宋体" w:eastAsia="宋体" w:cs="宋体"/>
                <w:spacing w:val="-11"/>
                <w:sz w:val="23"/>
                <w:szCs w:val="23"/>
              </w:rPr>
              <w:t>0 分</w:t>
            </w:r>
          </w:p>
        </w:tc>
        <w:tc>
          <w:tcPr>
            <w:tcW w:w="4492" w:type="dxa"/>
            <w:shd w:val="clear" w:color="auto" w:fill="FFFFFF"/>
            <w:vAlign w:val="top"/>
          </w:tcPr>
          <w:p>
            <w:pPr>
              <w:numPr>
                <w:ilvl w:val="0"/>
                <w:numId w:val="0"/>
              </w:numPr>
              <w:spacing w:before="193" w:line="240" w:lineRule="auto"/>
              <w:ind w:left="115" w:leftChars="0" w:right="102" w:rightChars="0" w:firstLine="15" w:firstLineChars="0"/>
              <w:rPr>
                <w:rFonts w:ascii="宋体" w:hAnsi="宋体" w:eastAsia="宋体" w:cs="宋体"/>
                <w:spacing w:val="5"/>
                <w:sz w:val="18"/>
                <w:szCs w:val="18"/>
              </w:rPr>
            </w:pPr>
          </w:p>
          <w:p>
            <w:pPr>
              <w:numPr>
                <w:ilvl w:val="0"/>
                <w:numId w:val="0"/>
              </w:numPr>
              <w:spacing w:before="193" w:line="240" w:lineRule="auto"/>
              <w:ind w:left="115" w:leftChars="0" w:right="102" w:rightChars="0" w:firstLine="15" w:firstLineChars="0"/>
              <w:rPr>
                <w:rFonts w:ascii="宋体" w:hAnsi="宋体" w:eastAsia="宋体" w:cs="宋体"/>
                <w:spacing w:val="5"/>
                <w:sz w:val="18"/>
                <w:szCs w:val="18"/>
              </w:rPr>
            </w:pPr>
            <w:r>
              <w:rPr>
                <w:rFonts w:hint="eastAsia" w:ascii="宋体" w:hAnsi="宋体" w:eastAsia="宋体" w:cs="宋体"/>
                <w:spacing w:val="5"/>
                <w:sz w:val="18"/>
                <w:szCs w:val="18"/>
                <w:lang w:val="en-US" w:eastAsia="zh-CN"/>
              </w:rPr>
              <w:t>4、</w:t>
            </w:r>
            <w:r>
              <w:rPr>
                <w:rFonts w:ascii="宋体" w:hAnsi="宋体" w:eastAsia="宋体" w:cs="宋体"/>
                <w:spacing w:val="5"/>
                <w:sz w:val="18"/>
                <w:szCs w:val="18"/>
              </w:rPr>
              <w:t>供应商 2019 年 1 月 1 日至今每具有 1 个</w:t>
            </w:r>
            <w:r>
              <w:rPr>
                <w:rFonts w:hint="eastAsia" w:ascii="宋体" w:hAnsi="宋体" w:eastAsia="宋体" w:cs="宋体"/>
                <w:spacing w:val="5"/>
                <w:sz w:val="18"/>
                <w:szCs w:val="18"/>
                <w:lang w:eastAsia="zh-CN"/>
              </w:rPr>
              <w:t>天府科技云</w:t>
            </w:r>
            <w:r>
              <w:rPr>
                <w:rFonts w:ascii="宋体" w:hAnsi="宋体" w:eastAsia="宋体" w:cs="宋体"/>
                <w:spacing w:val="5"/>
                <w:sz w:val="18"/>
                <w:szCs w:val="18"/>
              </w:rPr>
              <w:t>类似项目业绩得 5 分，本项最高得 20 分。</w:t>
            </w:r>
          </w:p>
        </w:tc>
        <w:tc>
          <w:tcPr>
            <w:tcW w:w="807" w:type="dxa"/>
            <w:shd w:val="clear" w:color="auto" w:fill="FFFFFF"/>
            <w:vAlign w:val="top"/>
          </w:tcPr>
          <w:p>
            <w:pPr>
              <w:numPr>
                <w:ilvl w:val="0"/>
                <w:numId w:val="0"/>
              </w:numPr>
              <w:spacing w:before="193" w:line="240" w:lineRule="auto"/>
              <w:ind w:left="115" w:leftChars="0" w:right="102" w:rightChars="0" w:firstLine="15" w:firstLineChars="0"/>
              <w:jc w:val="center"/>
              <w:rPr>
                <w:rFonts w:hint="eastAsia" w:ascii="宋体" w:hAnsi="宋体" w:eastAsia="宋体" w:cs="宋体"/>
                <w:spacing w:val="5"/>
                <w:sz w:val="18"/>
                <w:szCs w:val="18"/>
                <w:lang w:val="zh-CN" w:eastAsia="zh-CN"/>
              </w:rPr>
            </w:pPr>
            <w:r>
              <w:rPr>
                <w:rFonts w:ascii="宋体" w:hAnsi="宋体" w:eastAsia="宋体" w:cs="宋体"/>
                <w:spacing w:val="5"/>
                <w:sz w:val="18"/>
                <w:szCs w:val="18"/>
              </w:rPr>
              <w:t>提供合同复 印件或中标 (成交) 通 知书加盖供应商鲜章。</w:t>
            </w:r>
          </w:p>
        </w:tc>
        <w:tc>
          <w:tcPr>
            <w:tcW w:w="1110" w:type="dxa"/>
            <w:shd w:val="clear" w:color="auto" w:fill="auto"/>
            <w:vAlign w:val="top"/>
          </w:tcPr>
          <w:p>
            <w:pPr>
              <w:spacing w:before="186" w:line="215" w:lineRule="auto"/>
              <w:jc w:val="center"/>
              <w:rPr>
                <w:rFonts w:ascii="宋体" w:hAnsi="宋体" w:eastAsia="宋体" w:cs="宋体"/>
                <w:snapToGrid w:val="0"/>
                <w:color w:val="000000"/>
                <w:kern w:val="0"/>
                <w:sz w:val="23"/>
                <w:szCs w:val="23"/>
              </w:rPr>
            </w:pPr>
            <w:r>
              <w:rPr>
                <w:rFonts w:ascii="宋体" w:hAnsi="宋体" w:eastAsia="宋体" w:cs="宋体"/>
                <w:spacing w:val="7"/>
                <w:sz w:val="23"/>
                <w:szCs w:val="23"/>
              </w:rPr>
              <w:t>技术</w:t>
            </w:r>
            <w:r>
              <w:rPr>
                <w:rFonts w:ascii="宋体" w:hAnsi="宋体" w:eastAsia="宋体" w:cs="宋体"/>
                <w:spacing w:val="6"/>
                <w:sz w:val="23"/>
                <w:szCs w:val="23"/>
              </w:rPr>
              <w:t>类</w:t>
            </w:r>
          </w:p>
        </w:tc>
      </w:tr>
    </w:tbl>
    <w:p>
      <w:pPr>
        <w:tabs>
          <w:tab w:val="left" w:pos="4572"/>
        </w:tabs>
        <w:bidi w:val="0"/>
        <w:jc w:val="left"/>
        <w:rPr>
          <w:rFonts w:hint="eastAsia" w:eastAsia="宋体"/>
          <w:lang w:eastAsia="zh-CN"/>
        </w:rPr>
      </w:pPr>
    </w:p>
    <w:p>
      <w:pPr>
        <w:pStyle w:val="2"/>
        <w:widowControl/>
      </w:pPr>
      <w:r>
        <w:t>注：评分的取值按四舍五入法，保留小数点后两位。</w:t>
      </w:r>
    </w:p>
    <w:p>
      <w:pPr>
        <w:pStyle w:val="2"/>
        <w:rPr>
          <w:rFonts w:hint="eastAsia"/>
          <w:lang w:eastAsia="zh-CN"/>
        </w:rPr>
        <w:sectPr>
          <w:headerReference r:id="rId20" w:type="default"/>
          <w:footerReference r:id="rId21" w:type="default"/>
          <w:pgSz w:w="11906" w:h="16839"/>
          <w:pgMar w:top="1417" w:right="1417" w:bottom="1417" w:left="1417" w:header="0" w:footer="1071" w:gutter="0"/>
          <w:pgNumType w:fmt="decimal"/>
          <w:cols w:space="0" w:num="1"/>
          <w:rtlGutter w:val="0"/>
        </w:sectPr>
      </w:pPr>
    </w:p>
    <w:p>
      <w:pPr>
        <w:pStyle w:val="4"/>
        <w:widowControl/>
        <w:numPr>
          <w:ilvl w:val="0"/>
          <w:numId w:val="60"/>
        </w:numPr>
        <w:ind w:left="0" w:leftChars="0" w:firstLine="0" w:firstLineChars="0"/>
        <w:rPr>
          <w:b/>
        </w:rPr>
      </w:pPr>
      <w:bookmarkStart w:id="109" w:name="_Toc8495"/>
      <w:r>
        <w:t>推荐成交候选供应商</w:t>
      </w:r>
      <w:bookmarkEnd w:id="109"/>
    </w:p>
    <w:p>
      <w:pPr>
        <w:pStyle w:val="2"/>
        <w:widowControl/>
        <w:rPr>
          <w:color w:val="auto"/>
          <w:highlight w:val="none"/>
        </w:rPr>
      </w:pPr>
      <w:r>
        <w:rPr>
          <w:color w:val="auto"/>
          <w:highlight w:val="none"/>
        </w:rPr>
        <w:t>本项目采用综合评分法，供应商报价结束后，磋商小组应当根据财政部的规定， 按照磋商文件规定的评审方法和标准对提交最后报价的供应商的响应文件和最后报 价进行综合评分，磋商小组应当根据综合评分情况，按照评审得分由高到低顺序推荐 三家及以上成交候选供应商，并编写评审报告，评审得分相同的，按照最后报价由低 到高顺序推荐。评审得分且最后报价相同的，按照技术指标优劣顺序推荐。</w:t>
      </w:r>
    </w:p>
    <w:p>
      <w:pPr>
        <w:pStyle w:val="4"/>
        <w:widowControl/>
        <w:numPr>
          <w:ilvl w:val="0"/>
          <w:numId w:val="60"/>
        </w:numPr>
        <w:ind w:left="0" w:leftChars="0" w:firstLine="0" w:firstLineChars="0"/>
        <w:rPr>
          <w:b/>
        </w:rPr>
      </w:pPr>
      <w:bookmarkStart w:id="110" w:name="_Toc21478"/>
      <w:r>
        <w:t>磋商纪律及注意事项</w:t>
      </w:r>
      <w:bookmarkEnd w:id="110"/>
    </w:p>
    <w:p>
      <w:pPr>
        <w:pStyle w:val="2"/>
        <w:widowControl/>
        <w:numPr>
          <w:ilvl w:val="0"/>
          <w:numId w:val="77"/>
        </w:numPr>
        <w:ind w:left="0" w:leftChars="0" w:firstLine="480" w:firstLineChars="0"/>
        <w:rPr>
          <w:b w:val="0"/>
          <w:color w:val="auto"/>
          <w:highlight w:val="none"/>
        </w:rPr>
      </w:pPr>
      <w:r>
        <w:rPr>
          <w:color w:val="auto"/>
          <w:highlight w:val="none"/>
        </w:rPr>
        <w:t>磋商小组内部讨论的情况和意见必须保密，任何人不得以任何形式透露给供应商或与供应商有关的单位或个人。</w:t>
      </w:r>
    </w:p>
    <w:p>
      <w:pPr>
        <w:pStyle w:val="2"/>
        <w:widowControl/>
        <w:numPr>
          <w:ilvl w:val="0"/>
          <w:numId w:val="77"/>
        </w:numPr>
        <w:ind w:left="0" w:leftChars="0" w:firstLine="480" w:firstLineChars="0"/>
        <w:rPr>
          <w:b w:val="0"/>
          <w:color w:val="auto"/>
          <w:highlight w:val="none"/>
        </w:rPr>
      </w:pPr>
      <w:r>
        <w:rPr>
          <w:color w:val="auto"/>
          <w:highlight w:val="none"/>
        </w:rPr>
        <w:t>在磋商过程中，供应商不得以任何形式对磋商小组成员进行旨在影响谈判结果的私下接触，否则将取消其参与磋商的资格。</w:t>
      </w:r>
    </w:p>
    <w:p>
      <w:pPr>
        <w:pStyle w:val="2"/>
        <w:widowControl/>
        <w:numPr>
          <w:ilvl w:val="0"/>
          <w:numId w:val="77"/>
        </w:numPr>
        <w:ind w:left="0" w:leftChars="0" w:firstLine="480" w:firstLineChars="0"/>
        <w:rPr>
          <w:b w:val="0"/>
          <w:color w:val="auto"/>
          <w:highlight w:val="none"/>
        </w:rPr>
      </w:pPr>
      <w:r>
        <w:rPr>
          <w:color w:val="auto"/>
          <w:highlight w:val="none"/>
        </w:rPr>
        <w:t>对各供应商的商业秘密，磋商小组成员应予以保密，不得泄露给其他供应商。</w:t>
      </w:r>
    </w:p>
    <w:p>
      <w:pPr>
        <w:pStyle w:val="2"/>
        <w:widowControl/>
        <w:numPr>
          <w:ilvl w:val="0"/>
          <w:numId w:val="77"/>
        </w:numPr>
        <w:ind w:left="0" w:leftChars="0" w:firstLine="480" w:firstLineChars="0"/>
        <w:rPr>
          <w:b w:val="0"/>
          <w:color w:val="auto"/>
          <w:highlight w:val="none"/>
        </w:rPr>
      </w:pPr>
      <w:r>
        <w:rPr>
          <w:color w:val="auto"/>
          <w:highlight w:val="none"/>
        </w:rPr>
        <w:t>磋商小组独立评判，推荐成交候选人，并写出书面报告。</w:t>
      </w:r>
    </w:p>
    <w:p>
      <w:pPr>
        <w:pStyle w:val="2"/>
        <w:widowControl/>
        <w:numPr>
          <w:ilvl w:val="0"/>
          <w:numId w:val="77"/>
        </w:numPr>
        <w:ind w:left="0" w:leftChars="0" w:firstLine="480" w:firstLineChars="0"/>
        <w:rPr>
          <w:b w:val="0"/>
          <w:color w:val="auto"/>
          <w:highlight w:val="none"/>
        </w:rPr>
      </w:pPr>
      <w:r>
        <w:rPr>
          <w:color w:val="auto"/>
          <w:highlight w:val="none"/>
        </w:rPr>
        <w:t>磋商小组可根据需要对供应商进行实地考察。</w:t>
      </w:r>
    </w:p>
    <w:p>
      <w:pPr>
        <w:pStyle w:val="4"/>
        <w:widowControl/>
        <w:numPr>
          <w:ilvl w:val="0"/>
          <w:numId w:val="77"/>
        </w:numPr>
        <w:ind w:left="0" w:leftChars="0" w:firstLine="480" w:firstLineChars="0"/>
        <w:rPr>
          <w:b/>
          <w:highlight w:val="none"/>
        </w:rPr>
      </w:pPr>
      <w:r>
        <w:rPr>
          <w:highlight w:val="none"/>
        </w:rPr>
        <w:t>磋商小组在招标活动中承担以下义务：</w:t>
      </w:r>
    </w:p>
    <w:p>
      <w:pPr>
        <w:pStyle w:val="3"/>
      </w:pPr>
    </w:p>
    <w:p>
      <w:pPr>
        <w:pStyle w:val="2"/>
        <w:widowControl/>
        <w:numPr>
          <w:ilvl w:val="0"/>
          <w:numId w:val="78"/>
        </w:numPr>
        <w:topLinePunct w:val="0"/>
        <w:ind w:left="0" w:leftChars="0" w:firstLine="480" w:firstLineChars="0"/>
        <w:rPr>
          <w:b w:val="0"/>
          <w:color w:val="auto"/>
          <w:highlight w:val="none"/>
        </w:rPr>
      </w:pPr>
      <w:r>
        <w:rPr>
          <w:color w:val="auto"/>
          <w:highlight w:val="none"/>
        </w:rPr>
        <w:t>遵守评审工作纪律；</w:t>
      </w:r>
    </w:p>
    <w:p>
      <w:pPr>
        <w:pStyle w:val="2"/>
        <w:widowControl/>
        <w:numPr>
          <w:ilvl w:val="0"/>
          <w:numId w:val="78"/>
        </w:numPr>
        <w:topLinePunct w:val="0"/>
        <w:ind w:left="0" w:leftChars="0" w:firstLine="480" w:firstLineChars="0"/>
        <w:rPr>
          <w:b w:val="0"/>
          <w:color w:val="auto"/>
          <w:highlight w:val="none"/>
        </w:rPr>
      </w:pPr>
      <w:r>
        <w:rPr>
          <w:color w:val="auto"/>
          <w:highlight w:val="none"/>
        </w:rPr>
        <w:t>按照客观、公正、审慎的原则，根据磋商文件规定的评审程序、评审方法和评审标准进行独立评审；</w:t>
      </w:r>
    </w:p>
    <w:p>
      <w:pPr>
        <w:pStyle w:val="2"/>
        <w:widowControl/>
        <w:numPr>
          <w:ilvl w:val="0"/>
          <w:numId w:val="78"/>
        </w:numPr>
        <w:topLinePunct w:val="0"/>
        <w:ind w:left="0" w:leftChars="0" w:firstLine="480" w:firstLineChars="0"/>
        <w:rPr>
          <w:b w:val="0"/>
          <w:color w:val="auto"/>
          <w:highlight w:val="none"/>
        </w:rPr>
      </w:pPr>
      <w:r>
        <w:rPr>
          <w:color w:val="auto"/>
          <w:highlight w:val="none"/>
        </w:rPr>
        <w:t>不得泄露评审文件、评审情况和在评审过程中获悉的商业秘密；</w:t>
      </w:r>
    </w:p>
    <w:p>
      <w:pPr>
        <w:pStyle w:val="2"/>
        <w:widowControl/>
        <w:numPr>
          <w:ilvl w:val="0"/>
          <w:numId w:val="78"/>
        </w:numPr>
        <w:topLinePunct w:val="0"/>
        <w:ind w:left="0" w:leftChars="0" w:firstLine="480" w:firstLineChars="0"/>
        <w:rPr>
          <w:b w:val="0"/>
          <w:color w:val="auto"/>
          <w:highlight w:val="none"/>
        </w:rPr>
      </w:pPr>
      <w:r>
        <w:rPr>
          <w:color w:val="auto"/>
          <w:highlight w:val="none"/>
        </w:rPr>
        <w:t>及时向财政部门报告评审过程中发现的采购人、采购代理机构向评审专家做倾向性、误导性的解释或者说明，以及供应商行贿、提供虚假材料或者串通等违法行为；</w:t>
      </w:r>
    </w:p>
    <w:p>
      <w:pPr>
        <w:pStyle w:val="2"/>
        <w:widowControl/>
        <w:numPr>
          <w:ilvl w:val="0"/>
          <w:numId w:val="78"/>
        </w:numPr>
        <w:topLinePunct w:val="0"/>
        <w:ind w:left="0" w:leftChars="0" w:firstLine="480" w:firstLineChars="0"/>
        <w:rPr>
          <w:b w:val="0"/>
          <w:color w:val="auto"/>
          <w:highlight w:val="none"/>
        </w:rPr>
      </w:pPr>
      <w:r>
        <w:rPr>
          <w:color w:val="auto"/>
          <w:highlight w:val="none"/>
        </w:rPr>
        <w:t>发现磋商文件内容违反国家有关强制性规定或者磋商文件存在歧义、重大缺陷导致评审工作无法进行时，停止评审并向采购人或者采购代理机构书面说明情况；</w:t>
      </w:r>
    </w:p>
    <w:p>
      <w:pPr>
        <w:pStyle w:val="2"/>
        <w:widowControl/>
        <w:numPr>
          <w:ilvl w:val="0"/>
          <w:numId w:val="78"/>
        </w:numPr>
        <w:topLinePunct w:val="0"/>
        <w:ind w:left="0" w:leftChars="0" w:firstLine="480" w:firstLineChars="0"/>
        <w:rPr>
          <w:b w:val="0"/>
          <w:color w:val="auto"/>
          <w:highlight w:val="none"/>
        </w:rPr>
      </w:pPr>
      <w:r>
        <w:rPr>
          <w:color w:val="auto"/>
          <w:highlight w:val="none"/>
        </w:rPr>
        <w:t>及时向财政、监察等部门举报在评审过程中受到非法干预的情况；</w:t>
      </w:r>
    </w:p>
    <w:p>
      <w:pPr>
        <w:pStyle w:val="2"/>
        <w:widowControl/>
        <w:numPr>
          <w:ilvl w:val="0"/>
          <w:numId w:val="78"/>
        </w:numPr>
        <w:topLinePunct w:val="0"/>
        <w:ind w:left="0" w:leftChars="0" w:firstLine="480" w:firstLineChars="0"/>
        <w:rPr>
          <w:b w:val="0"/>
          <w:color w:val="auto"/>
          <w:highlight w:val="none"/>
        </w:rPr>
      </w:pPr>
      <w:r>
        <w:rPr>
          <w:color w:val="auto"/>
          <w:highlight w:val="none"/>
        </w:rPr>
        <w:t>配合答复处理供应商的询问、质疑和投诉等事项；</w:t>
      </w:r>
    </w:p>
    <w:p>
      <w:pPr>
        <w:pStyle w:val="2"/>
        <w:widowControl/>
        <w:numPr>
          <w:ilvl w:val="0"/>
          <w:numId w:val="78"/>
        </w:numPr>
        <w:topLinePunct w:val="0"/>
        <w:ind w:left="0" w:leftChars="0" w:firstLine="480" w:firstLineChars="0"/>
        <w:rPr>
          <w:b w:val="0"/>
          <w:color w:val="auto"/>
          <w:highlight w:val="none"/>
        </w:rPr>
      </w:pPr>
      <w:r>
        <w:rPr>
          <w:color w:val="auto"/>
          <w:highlight w:val="none"/>
        </w:rPr>
        <w:t>法律、法规和规章规定的其他义务。</w:t>
      </w:r>
    </w:p>
    <w:p>
      <w:pPr>
        <w:rPr>
          <w:highlight w:val="none"/>
        </w:rPr>
      </w:pPr>
      <w:r>
        <w:rPr>
          <w:highlight w:val="none"/>
        </w:rPr>
        <w:br w:type="page"/>
      </w:r>
    </w:p>
    <w:p>
      <w:pPr>
        <w:pStyle w:val="4"/>
        <w:widowControl/>
        <w:numPr>
          <w:ilvl w:val="0"/>
          <w:numId w:val="77"/>
        </w:numPr>
        <w:ind w:left="0" w:leftChars="0" w:firstLine="480" w:firstLineChars="0"/>
        <w:rPr>
          <w:b/>
          <w:highlight w:val="none"/>
        </w:rPr>
      </w:pPr>
      <w:r>
        <w:rPr>
          <w:highlight w:val="none"/>
        </w:rPr>
        <w:t>评审专家在招标活动中应当遵守以下工作纪律：</w:t>
      </w:r>
    </w:p>
    <w:p>
      <w:pPr>
        <w:pStyle w:val="2"/>
        <w:widowControl/>
        <w:numPr>
          <w:ilvl w:val="0"/>
          <w:numId w:val="79"/>
        </w:numPr>
        <w:topLinePunct w:val="0"/>
        <w:ind w:left="0" w:leftChars="0" w:firstLine="480" w:firstLineChars="0"/>
        <w:rPr>
          <w:b w:val="0"/>
          <w:color w:val="auto"/>
          <w:highlight w:val="none"/>
        </w:rPr>
      </w:pPr>
      <w:r>
        <w:rPr>
          <w:color w:val="auto"/>
          <w:highlight w:val="none"/>
        </w:rPr>
        <w:t>不得参加与自己有《中华人民共和国采购法实施条例》第九条规定的利害关系的招标项目的评标活动。发现参加了与自己有利害关系的评审活动，须主动提出回避，退出评审；</w:t>
      </w:r>
    </w:p>
    <w:p>
      <w:pPr>
        <w:pStyle w:val="2"/>
        <w:widowControl/>
        <w:numPr>
          <w:ilvl w:val="0"/>
          <w:numId w:val="79"/>
        </w:numPr>
        <w:topLinePunct w:val="0"/>
        <w:ind w:left="0" w:leftChars="0" w:firstLine="480" w:firstLineChars="0"/>
        <w:rPr>
          <w:b w:val="0"/>
          <w:color w:val="auto"/>
          <w:highlight w:val="none"/>
        </w:rPr>
      </w:pPr>
      <w:r>
        <w:rPr>
          <w:color w:val="auto"/>
          <w:highlight w:val="none"/>
        </w:rPr>
        <w:t>评审前，应当将通讯工具或者相关电子设备交由采购代理机构统一保管；</w:t>
      </w:r>
    </w:p>
    <w:p>
      <w:pPr>
        <w:pStyle w:val="2"/>
        <w:widowControl/>
        <w:numPr>
          <w:ilvl w:val="0"/>
          <w:numId w:val="79"/>
        </w:numPr>
        <w:topLinePunct w:val="0"/>
        <w:ind w:left="0" w:leftChars="0" w:firstLine="480" w:firstLineChars="0"/>
        <w:rPr>
          <w:b w:val="0"/>
          <w:color w:val="auto"/>
          <w:highlight w:val="none"/>
        </w:rPr>
      </w:pPr>
      <w:r>
        <w:rPr>
          <w:color w:val="auto"/>
          <w:highlight w:val="none"/>
        </w:rPr>
        <w:t>评审过程中，不得与外界联系，因发生不可预见情况，确实需要与外界联系的，应当在监督人员监督之下办理；</w:t>
      </w:r>
    </w:p>
    <w:p>
      <w:pPr>
        <w:pStyle w:val="2"/>
        <w:widowControl/>
        <w:numPr>
          <w:ilvl w:val="0"/>
          <w:numId w:val="79"/>
        </w:numPr>
        <w:topLinePunct w:val="0"/>
        <w:ind w:left="0" w:leftChars="0" w:firstLine="480" w:firstLineChars="0"/>
        <w:rPr>
          <w:b w:val="0"/>
          <w:color w:val="auto"/>
          <w:highlight w:val="none"/>
        </w:rPr>
      </w:pPr>
      <w:r>
        <w:rPr>
          <w:color w:val="auto"/>
          <w:highlight w:val="none"/>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2"/>
        <w:widowControl/>
        <w:numPr>
          <w:ilvl w:val="0"/>
          <w:numId w:val="79"/>
        </w:numPr>
        <w:topLinePunct w:val="0"/>
        <w:ind w:left="0" w:leftChars="0" w:firstLine="480" w:firstLineChars="0"/>
        <w:rPr>
          <w:b w:val="0"/>
          <w:color w:val="auto"/>
          <w:highlight w:val="none"/>
        </w:rPr>
      </w:pPr>
      <w:r>
        <w:rPr>
          <w:color w:val="auto"/>
          <w:highlight w:val="none"/>
        </w:rPr>
        <w:t>在评审过程中和评审结束后，不得记录、复制或带走任何评审资料，不得向外界透露评审内容；</w:t>
      </w:r>
    </w:p>
    <w:p>
      <w:pPr>
        <w:pStyle w:val="2"/>
        <w:widowControl/>
        <w:numPr>
          <w:ilvl w:val="0"/>
          <w:numId w:val="79"/>
        </w:numPr>
        <w:topLinePunct w:val="0"/>
        <w:ind w:left="0" w:leftChars="0" w:firstLine="480" w:firstLineChars="0"/>
        <w:rPr>
          <w:b w:val="0"/>
          <w:color w:val="auto"/>
          <w:highlight w:val="none"/>
        </w:rPr>
      </w:pPr>
      <w:r>
        <w:rPr>
          <w:color w:val="auto"/>
          <w:highlight w:val="none"/>
        </w:rPr>
        <w:t>评审现场服从采购代理机构工作人员的管理，接受现场监督人员的合法监督；</w:t>
      </w:r>
    </w:p>
    <w:p>
      <w:pPr>
        <w:pStyle w:val="2"/>
        <w:widowControl/>
        <w:numPr>
          <w:ilvl w:val="0"/>
          <w:numId w:val="79"/>
        </w:numPr>
        <w:topLinePunct w:val="0"/>
        <w:ind w:left="0" w:leftChars="0" w:firstLine="480" w:firstLineChars="0"/>
        <w:rPr>
          <w:b w:val="0"/>
          <w:color w:val="auto"/>
          <w:highlight w:val="none"/>
        </w:rPr>
        <w:sectPr>
          <w:pgSz w:w="11907" w:h="16840"/>
          <w:pgMar w:top="1417" w:right="1417" w:bottom="1417" w:left="1417" w:header="851" w:footer="992" w:gutter="0"/>
          <w:cols w:space="0" w:num="1"/>
          <w:rtlGutter w:val="0"/>
          <w:docGrid w:linePitch="312" w:charSpace="0"/>
        </w:sectPr>
      </w:pPr>
      <w:r>
        <w:rPr>
          <w:color w:val="auto"/>
          <w:highlight w:val="none"/>
        </w:rPr>
        <w:t>遵守有关廉洁自律规定，不得私下接触供应商，不得收受供应商及有关业务单位和个人的财物或好处，不得接受采购代理机构的请托。</w:t>
      </w:r>
    </w:p>
    <w:p>
      <w:pPr>
        <w:pStyle w:val="31"/>
        <w:numPr>
          <w:ilvl w:val="0"/>
          <w:numId w:val="1"/>
        </w:numPr>
        <w:ind w:left="0" w:leftChars="0" w:firstLine="0" w:firstLineChars="0"/>
        <w:outlineLvl w:val="0"/>
        <w:rPr>
          <w:b w:val="0"/>
          <w:highlight w:val="none"/>
        </w:rPr>
      </w:pPr>
      <w:r>
        <w:rPr>
          <w:highlight w:val="none"/>
        </w:rPr>
        <w:t>政府采购合同（草案，格式可自拟）</w:t>
      </w:r>
      <w:bookmarkStart w:id="111" w:name="_Hlt101846155"/>
      <w:bookmarkEnd w:id="111"/>
    </w:p>
    <w:p>
      <w:pPr>
        <w:pStyle w:val="2"/>
        <w:widowControl/>
        <w:rPr>
          <w:color w:val="auto"/>
          <w:highlight w:val="none"/>
        </w:rPr>
      </w:pPr>
      <w:r>
        <w:rPr>
          <w:color w:val="auto"/>
          <w:highlight w:val="none"/>
        </w:rPr>
        <w:t xml:space="preserve">合同编号：XXX </w:t>
      </w:r>
    </w:p>
    <w:p>
      <w:pPr>
        <w:pStyle w:val="2"/>
        <w:widowControl/>
        <w:rPr>
          <w:color w:val="auto"/>
          <w:highlight w:val="none"/>
        </w:rPr>
      </w:pPr>
      <w:r>
        <w:rPr>
          <w:color w:val="auto"/>
          <w:highlight w:val="none"/>
        </w:rPr>
        <w:t xml:space="preserve">签订地点：XXX </w:t>
      </w:r>
    </w:p>
    <w:p>
      <w:pPr>
        <w:pStyle w:val="2"/>
        <w:widowControl/>
        <w:rPr>
          <w:color w:val="auto"/>
          <w:highlight w:val="none"/>
        </w:rPr>
      </w:pPr>
      <w:r>
        <w:rPr>
          <w:color w:val="auto"/>
          <w:highlight w:val="none"/>
        </w:rPr>
        <w:t xml:space="preserve">签订时间：XXX年XXX月XXX日 </w:t>
      </w:r>
    </w:p>
    <w:p>
      <w:pPr>
        <w:pStyle w:val="2"/>
        <w:widowControl/>
        <w:rPr>
          <w:color w:val="auto"/>
          <w:highlight w:val="none"/>
        </w:rPr>
      </w:pPr>
      <w:r>
        <w:rPr>
          <w:color w:val="auto"/>
          <w:highlight w:val="none"/>
        </w:rPr>
        <w:t xml:space="preserve">采购人（甲方）：XXX </w:t>
      </w:r>
    </w:p>
    <w:p>
      <w:pPr>
        <w:pStyle w:val="2"/>
        <w:widowControl/>
        <w:rPr>
          <w:color w:val="auto"/>
          <w:highlight w:val="none"/>
        </w:rPr>
      </w:pPr>
      <w:r>
        <w:rPr>
          <w:color w:val="auto"/>
          <w:highlight w:val="none"/>
        </w:rPr>
        <w:t xml:space="preserve">供应商（乙方）：XXX </w:t>
      </w:r>
    </w:p>
    <w:p>
      <w:pPr>
        <w:pStyle w:val="2"/>
        <w:widowControl/>
        <w:rPr>
          <w:color w:val="auto"/>
          <w:highlight w:val="none"/>
        </w:rPr>
      </w:pPr>
      <w:r>
        <w:rPr>
          <w:color w:val="auto"/>
          <w:highlight w:val="none"/>
        </w:rPr>
        <w:t>参照《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pStyle w:val="2"/>
        <w:widowControl/>
        <w:numPr>
          <w:ilvl w:val="0"/>
          <w:numId w:val="80"/>
        </w:numPr>
        <w:ind w:left="0" w:leftChars="0" w:firstLine="480" w:firstLineChars="0"/>
        <w:rPr>
          <w:b w:val="0"/>
          <w:color w:val="auto"/>
          <w:highlight w:val="none"/>
        </w:rPr>
      </w:pPr>
      <w:r>
        <w:rPr>
          <w:color w:val="auto"/>
          <w:highlight w:val="none"/>
        </w:rPr>
        <w:t>项目基本情况</w:t>
      </w:r>
    </w:p>
    <w:p>
      <w:pPr>
        <w:pStyle w:val="2"/>
        <w:widowControl/>
        <w:numPr>
          <w:ilvl w:val="0"/>
          <w:numId w:val="80"/>
        </w:numPr>
        <w:ind w:left="0" w:leftChars="0" w:firstLine="480" w:firstLineChars="0"/>
        <w:rPr>
          <w:b w:val="0"/>
          <w:color w:val="auto"/>
          <w:highlight w:val="none"/>
        </w:rPr>
      </w:pPr>
      <w:r>
        <w:rPr>
          <w:color w:val="auto"/>
          <w:highlight w:val="none"/>
        </w:rPr>
        <w:t>合同期限</w:t>
      </w:r>
    </w:p>
    <w:p>
      <w:pPr>
        <w:pStyle w:val="2"/>
        <w:widowControl/>
        <w:numPr>
          <w:ilvl w:val="0"/>
          <w:numId w:val="80"/>
        </w:numPr>
        <w:ind w:left="0" w:leftChars="0" w:firstLine="480" w:firstLineChars="0"/>
        <w:rPr>
          <w:b w:val="0"/>
          <w:color w:val="auto"/>
          <w:highlight w:val="none"/>
        </w:rPr>
      </w:pPr>
      <w:r>
        <w:rPr>
          <w:color w:val="auto"/>
          <w:highlight w:val="none"/>
        </w:rPr>
        <w:t>服务内容与质量标准</w:t>
      </w:r>
    </w:p>
    <w:p>
      <w:pPr>
        <w:pStyle w:val="2"/>
        <w:widowControl/>
        <w:numPr>
          <w:ilvl w:val="0"/>
          <w:numId w:val="81"/>
        </w:numPr>
        <w:ind w:left="0" w:leftChars="0" w:firstLine="480" w:firstLineChars="0"/>
        <w:rPr>
          <w:b w:val="0"/>
          <w:color w:val="auto"/>
          <w:highlight w:val="none"/>
        </w:rPr>
      </w:pPr>
      <w:r>
        <w:rPr>
          <w:color w:val="auto"/>
          <w:highlight w:val="none"/>
        </w:rPr>
        <w:t>XXXX；</w:t>
      </w:r>
    </w:p>
    <w:p>
      <w:pPr>
        <w:pStyle w:val="2"/>
        <w:widowControl/>
        <w:numPr>
          <w:ilvl w:val="0"/>
          <w:numId w:val="81"/>
        </w:numPr>
        <w:ind w:left="0" w:leftChars="0" w:firstLine="480" w:firstLineChars="0"/>
        <w:rPr>
          <w:b w:val="0"/>
          <w:color w:val="auto"/>
          <w:highlight w:val="none"/>
        </w:rPr>
      </w:pPr>
      <w:r>
        <w:rPr>
          <w:color w:val="auto"/>
          <w:highlight w:val="none"/>
        </w:rPr>
        <w:t>XXXX；</w:t>
      </w:r>
    </w:p>
    <w:p>
      <w:pPr>
        <w:pStyle w:val="2"/>
        <w:widowControl/>
        <w:rPr>
          <w:color w:val="auto"/>
          <w:highlight w:val="none"/>
        </w:rPr>
      </w:pPr>
      <w:r>
        <w:rPr>
          <w:color w:val="auto"/>
          <w:highlight w:val="none"/>
        </w:rPr>
        <w:t>…</w:t>
      </w:r>
    </w:p>
    <w:p>
      <w:pPr>
        <w:pStyle w:val="2"/>
        <w:widowControl/>
        <w:numPr>
          <w:ilvl w:val="0"/>
          <w:numId w:val="80"/>
        </w:numPr>
        <w:ind w:left="0" w:leftChars="0" w:firstLine="480" w:firstLineChars="0"/>
        <w:rPr>
          <w:b w:val="0"/>
          <w:color w:val="auto"/>
          <w:highlight w:val="none"/>
        </w:rPr>
      </w:pPr>
      <w:r>
        <w:rPr>
          <w:color w:val="auto"/>
          <w:highlight w:val="none"/>
        </w:rPr>
        <w:t>服务费用及支付方式</w:t>
      </w:r>
    </w:p>
    <w:p>
      <w:pPr>
        <w:pStyle w:val="2"/>
        <w:widowControl/>
        <w:numPr>
          <w:ilvl w:val="0"/>
          <w:numId w:val="82"/>
        </w:numPr>
        <w:ind w:left="0" w:leftChars="0" w:firstLine="480" w:firstLineChars="0"/>
        <w:rPr>
          <w:b w:val="0"/>
          <w:color w:val="auto"/>
          <w:highlight w:val="none"/>
        </w:rPr>
      </w:pPr>
      <w:r>
        <w:rPr>
          <w:color w:val="auto"/>
          <w:highlight w:val="none"/>
        </w:rPr>
        <w:t>本项目服务费用由以下组成：</w:t>
      </w:r>
    </w:p>
    <w:p>
      <w:pPr>
        <w:pStyle w:val="2"/>
        <w:widowControl/>
        <w:numPr>
          <w:ilvl w:val="0"/>
          <w:numId w:val="83"/>
        </w:numPr>
        <w:ind w:left="0" w:leftChars="0" w:firstLine="480" w:firstLineChars="0"/>
        <w:rPr>
          <w:b w:val="0"/>
          <w:color w:val="auto"/>
          <w:highlight w:val="none"/>
        </w:rPr>
      </w:pPr>
      <w:r>
        <w:rPr>
          <w:color w:val="auto"/>
          <w:highlight w:val="none"/>
        </w:rPr>
        <w:t>XX万元；</w:t>
      </w:r>
    </w:p>
    <w:p>
      <w:pPr>
        <w:pStyle w:val="2"/>
        <w:widowControl/>
        <w:numPr>
          <w:ilvl w:val="0"/>
          <w:numId w:val="83"/>
        </w:numPr>
        <w:ind w:left="0" w:leftChars="0" w:firstLine="480" w:firstLineChars="0"/>
        <w:rPr>
          <w:b w:val="0"/>
          <w:color w:val="auto"/>
          <w:highlight w:val="none"/>
        </w:rPr>
      </w:pPr>
      <w:r>
        <w:rPr>
          <w:color w:val="auto"/>
          <w:highlight w:val="none"/>
        </w:rPr>
        <w:t>XX万元；</w:t>
      </w:r>
    </w:p>
    <w:p>
      <w:pPr>
        <w:pStyle w:val="2"/>
        <w:widowControl/>
        <w:rPr>
          <w:color w:val="auto"/>
          <w:highlight w:val="none"/>
        </w:rPr>
      </w:pPr>
      <w:r>
        <w:rPr>
          <w:color w:val="auto"/>
          <w:highlight w:val="none"/>
        </w:rPr>
        <w:t>……</w:t>
      </w:r>
    </w:p>
    <w:p>
      <w:pPr>
        <w:pStyle w:val="2"/>
        <w:widowControl/>
        <w:numPr>
          <w:ilvl w:val="0"/>
          <w:numId w:val="82"/>
        </w:numPr>
        <w:ind w:left="0" w:leftChars="0" w:firstLine="480" w:firstLineChars="0"/>
        <w:rPr>
          <w:b w:val="0"/>
          <w:color w:val="auto"/>
          <w:highlight w:val="none"/>
        </w:rPr>
      </w:pPr>
      <w:r>
        <w:rPr>
          <w:color w:val="auto"/>
          <w:highlight w:val="none"/>
        </w:rPr>
        <w:t xml:space="preserve">服务费支付方式： </w:t>
      </w:r>
    </w:p>
    <w:p>
      <w:pPr>
        <w:pStyle w:val="2"/>
        <w:widowControl/>
        <w:numPr>
          <w:ilvl w:val="0"/>
          <w:numId w:val="80"/>
        </w:numPr>
        <w:ind w:left="0" w:leftChars="0" w:firstLine="480" w:firstLineChars="0"/>
        <w:rPr>
          <w:b w:val="0"/>
          <w:color w:val="auto"/>
          <w:highlight w:val="none"/>
        </w:rPr>
      </w:pPr>
      <w:r>
        <w:rPr>
          <w:color w:val="auto"/>
          <w:highlight w:val="none"/>
        </w:rPr>
        <w:t>知识产权</w:t>
      </w:r>
    </w:p>
    <w:p>
      <w:pPr>
        <w:pStyle w:val="2"/>
        <w:widowControl/>
        <w:rPr>
          <w:color w:val="auto"/>
          <w:highlight w:val="none"/>
        </w:rPr>
      </w:pPr>
      <w:r>
        <w:rPr>
          <w:color w:val="auto"/>
          <w:highlight w:val="none"/>
        </w:rPr>
        <w:t>乙方应保证所提供的服务或其任何一部分均不会侵犯任何第三方的专利权、商标权或著作权。</w:t>
      </w:r>
    </w:p>
    <w:p>
      <w:pPr>
        <w:pStyle w:val="2"/>
        <w:widowControl/>
        <w:numPr>
          <w:ilvl w:val="0"/>
          <w:numId w:val="80"/>
        </w:numPr>
        <w:ind w:left="0" w:leftChars="0" w:firstLine="480" w:firstLineChars="0"/>
        <w:rPr>
          <w:b w:val="0"/>
          <w:color w:val="auto"/>
          <w:highlight w:val="none"/>
        </w:rPr>
      </w:pPr>
      <w:r>
        <w:rPr>
          <w:color w:val="auto"/>
          <w:highlight w:val="none"/>
        </w:rPr>
        <w:t>无产权瑕疵条款</w:t>
      </w:r>
    </w:p>
    <w:p>
      <w:pPr>
        <w:pStyle w:val="2"/>
        <w:widowControl/>
        <w:rPr>
          <w:color w:val="auto"/>
          <w:highlight w:val="none"/>
        </w:rPr>
      </w:pPr>
      <w:r>
        <w:rPr>
          <w:color w:val="auto"/>
          <w:highlight w:val="none"/>
        </w:rPr>
        <w:t>乙方保证所提供的服务的所有权完全属于乙方且无任何抵押、查封等产权瑕疵。如有产权瑕疵的，视为乙方违约。乙方应负担由此而产生的一切损失。</w:t>
      </w:r>
    </w:p>
    <w:p>
      <w:pPr>
        <w:pStyle w:val="2"/>
        <w:widowControl/>
        <w:numPr>
          <w:ilvl w:val="0"/>
          <w:numId w:val="80"/>
        </w:numPr>
        <w:ind w:left="0" w:leftChars="0" w:firstLine="480" w:firstLineChars="0"/>
        <w:rPr>
          <w:b w:val="0"/>
          <w:color w:val="auto"/>
          <w:highlight w:val="none"/>
        </w:rPr>
      </w:pPr>
      <w:r>
        <w:rPr>
          <w:color w:val="auto"/>
          <w:highlight w:val="none"/>
        </w:rPr>
        <w:t>履约保证金</w:t>
      </w:r>
    </w:p>
    <w:p>
      <w:pPr>
        <w:pStyle w:val="2"/>
        <w:widowControl/>
        <w:numPr>
          <w:ilvl w:val="0"/>
          <w:numId w:val="84"/>
        </w:numPr>
        <w:ind w:left="0" w:leftChars="0" w:firstLine="480" w:firstLineChars="0"/>
        <w:rPr>
          <w:b w:val="0"/>
          <w:color w:val="auto"/>
          <w:highlight w:val="none"/>
        </w:rPr>
      </w:pPr>
      <w:r>
        <w:rPr>
          <w:color w:val="auto"/>
          <w:highlight w:val="none"/>
        </w:rPr>
        <w:t>乙方缴纳人民币XX元作为本合同的履约保证金。</w:t>
      </w:r>
    </w:p>
    <w:p>
      <w:pPr>
        <w:pStyle w:val="2"/>
        <w:widowControl/>
        <w:numPr>
          <w:ilvl w:val="0"/>
          <w:numId w:val="84"/>
        </w:numPr>
        <w:ind w:left="0" w:leftChars="0" w:firstLine="480" w:firstLineChars="0"/>
        <w:rPr>
          <w:b w:val="0"/>
          <w:color w:val="auto"/>
          <w:highlight w:val="none"/>
        </w:rPr>
      </w:pPr>
      <w:r>
        <w:rPr>
          <w:color w:val="auto"/>
          <w:highlight w:val="none"/>
        </w:rPr>
        <w:t>履约保证金作为违约金的一部分及用于补偿甲方因乙方不能履行合同义务而蒙受的损失。</w:t>
      </w:r>
    </w:p>
    <w:p>
      <w:pPr>
        <w:pStyle w:val="2"/>
        <w:widowControl/>
        <w:numPr>
          <w:ilvl w:val="0"/>
          <w:numId w:val="80"/>
        </w:numPr>
        <w:ind w:left="0" w:leftChars="0" w:firstLine="480" w:firstLineChars="0"/>
        <w:rPr>
          <w:b w:val="0"/>
          <w:color w:val="auto"/>
          <w:highlight w:val="none"/>
        </w:rPr>
      </w:pPr>
      <w:r>
        <w:rPr>
          <w:color w:val="auto"/>
          <w:highlight w:val="none"/>
        </w:rPr>
        <w:t>甲方的权利和义务</w:t>
      </w:r>
    </w:p>
    <w:p>
      <w:pPr>
        <w:pStyle w:val="2"/>
        <w:widowControl/>
        <w:numPr>
          <w:ilvl w:val="0"/>
          <w:numId w:val="85"/>
        </w:numPr>
        <w:ind w:left="0" w:leftChars="0" w:firstLine="480" w:firstLineChars="0"/>
        <w:rPr>
          <w:b w:val="0"/>
          <w:color w:val="auto"/>
          <w:highlight w:val="none"/>
        </w:rPr>
      </w:pPr>
      <w:r>
        <w:rPr>
          <w:color w:val="auto"/>
          <w:highlight w:val="none"/>
        </w:rPr>
        <w:t>甲方有权对合同规定范围内乙方的服务行为进行监督和检查，拥有监管权。有权定期核对乙方提供服务所配备的人员数量。对甲方认为不合理的部分有权下达整改通知书，并要求乙方限期整改。</w:t>
      </w:r>
    </w:p>
    <w:p>
      <w:pPr>
        <w:pStyle w:val="2"/>
        <w:widowControl/>
        <w:numPr>
          <w:ilvl w:val="0"/>
          <w:numId w:val="85"/>
        </w:numPr>
        <w:ind w:left="0" w:leftChars="0" w:firstLine="480" w:firstLineChars="0"/>
        <w:rPr>
          <w:b w:val="0"/>
          <w:color w:val="auto"/>
          <w:highlight w:val="none"/>
        </w:rPr>
      </w:pPr>
      <w:r>
        <w:rPr>
          <w:color w:val="auto"/>
          <w:highlight w:val="none"/>
        </w:rPr>
        <w:t>甲方有权依据双方签订的考评办法对乙方提供的服务进行定期考评。当考评结果未达到标准时，有权依据考评办法约定的数额扣除履约保证金。</w:t>
      </w:r>
    </w:p>
    <w:p>
      <w:pPr>
        <w:pStyle w:val="2"/>
        <w:widowControl/>
        <w:numPr>
          <w:ilvl w:val="0"/>
          <w:numId w:val="85"/>
        </w:numPr>
        <w:ind w:left="0" w:leftChars="0" w:firstLine="480" w:firstLineChars="0"/>
        <w:rPr>
          <w:b w:val="0"/>
          <w:color w:val="auto"/>
          <w:highlight w:val="none"/>
        </w:rPr>
      </w:pPr>
      <w:r>
        <w:rPr>
          <w:color w:val="auto"/>
          <w:highlight w:val="none"/>
        </w:rPr>
        <w:t>负责检查监督乙方管理工作的实施及制度的执行情况。</w:t>
      </w:r>
    </w:p>
    <w:p>
      <w:pPr>
        <w:pStyle w:val="2"/>
        <w:widowControl/>
        <w:numPr>
          <w:ilvl w:val="0"/>
          <w:numId w:val="85"/>
        </w:numPr>
        <w:ind w:left="0" w:leftChars="0" w:firstLine="480" w:firstLineChars="0"/>
        <w:rPr>
          <w:b w:val="0"/>
          <w:color w:val="auto"/>
          <w:highlight w:val="none"/>
        </w:rPr>
      </w:pPr>
      <w:r>
        <w:rPr>
          <w:color w:val="auto"/>
          <w:highlight w:val="none"/>
        </w:rPr>
        <w:t>根据本合同规定，按时向乙方支付应付服务费用。</w:t>
      </w:r>
    </w:p>
    <w:p>
      <w:pPr>
        <w:pStyle w:val="2"/>
        <w:widowControl/>
        <w:numPr>
          <w:ilvl w:val="0"/>
          <w:numId w:val="85"/>
        </w:numPr>
        <w:ind w:left="0" w:leftChars="0" w:firstLine="480" w:firstLineChars="0"/>
        <w:rPr>
          <w:b w:val="0"/>
          <w:color w:val="auto"/>
          <w:highlight w:val="none"/>
        </w:rPr>
      </w:pPr>
      <w:r>
        <w:rPr>
          <w:color w:val="auto"/>
          <w:highlight w:val="none"/>
        </w:rPr>
        <w:t>国家法律、法规所规定由甲方承担的其它责任。</w:t>
      </w:r>
    </w:p>
    <w:p>
      <w:pPr>
        <w:pStyle w:val="2"/>
        <w:widowControl/>
        <w:numPr>
          <w:ilvl w:val="0"/>
          <w:numId w:val="80"/>
        </w:numPr>
        <w:ind w:left="0" w:leftChars="0" w:firstLine="480" w:firstLineChars="0"/>
        <w:rPr>
          <w:b w:val="0"/>
          <w:color w:val="auto"/>
          <w:highlight w:val="none"/>
        </w:rPr>
      </w:pPr>
      <w:r>
        <w:rPr>
          <w:color w:val="auto"/>
          <w:highlight w:val="none"/>
        </w:rPr>
        <w:t>乙方的权利和义务</w:t>
      </w:r>
    </w:p>
    <w:p>
      <w:pPr>
        <w:pStyle w:val="2"/>
        <w:widowControl/>
        <w:numPr>
          <w:ilvl w:val="0"/>
          <w:numId w:val="86"/>
        </w:numPr>
        <w:ind w:left="0" w:leftChars="0" w:firstLine="480" w:firstLineChars="0"/>
        <w:rPr>
          <w:b w:val="0"/>
          <w:color w:val="auto"/>
          <w:highlight w:val="none"/>
        </w:rPr>
      </w:pPr>
      <w:r>
        <w:rPr>
          <w:color w:val="auto"/>
          <w:highlight w:val="none"/>
        </w:rPr>
        <w:t>对本合同规定的委托服务范围内的项目享有管理权及服务义务。</w:t>
      </w:r>
    </w:p>
    <w:p>
      <w:pPr>
        <w:pStyle w:val="2"/>
        <w:widowControl/>
        <w:numPr>
          <w:ilvl w:val="0"/>
          <w:numId w:val="86"/>
        </w:numPr>
        <w:ind w:left="0" w:leftChars="0" w:firstLine="480" w:firstLineChars="0"/>
        <w:rPr>
          <w:b w:val="0"/>
          <w:color w:val="auto"/>
          <w:highlight w:val="none"/>
        </w:rPr>
      </w:pPr>
      <w:r>
        <w:rPr>
          <w:color w:val="auto"/>
          <w:highlight w:val="none"/>
        </w:rPr>
        <w:t>根据本合同的规定向甲方收取相关服务费用，并有权在本项目管理范围内管理及合理使用。</w:t>
      </w:r>
    </w:p>
    <w:p>
      <w:pPr>
        <w:pStyle w:val="2"/>
        <w:widowControl/>
        <w:numPr>
          <w:ilvl w:val="0"/>
          <w:numId w:val="86"/>
        </w:numPr>
        <w:ind w:left="0" w:leftChars="0" w:firstLine="480" w:firstLineChars="0"/>
        <w:rPr>
          <w:b w:val="0"/>
          <w:color w:val="auto"/>
          <w:highlight w:val="none"/>
        </w:rPr>
      </w:pPr>
      <w:r>
        <w:rPr>
          <w:color w:val="auto"/>
          <w:highlight w:val="none"/>
        </w:rPr>
        <w:t>及时向甲方通告本项目服务范围内有关服务的重大事项，及时配合处理投诉。</w:t>
      </w:r>
    </w:p>
    <w:p>
      <w:pPr>
        <w:pStyle w:val="2"/>
        <w:widowControl/>
        <w:numPr>
          <w:ilvl w:val="0"/>
          <w:numId w:val="86"/>
        </w:numPr>
        <w:ind w:left="0" w:leftChars="0" w:firstLine="480" w:firstLineChars="0"/>
        <w:rPr>
          <w:b w:val="0"/>
          <w:color w:val="auto"/>
          <w:highlight w:val="none"/>
        </w:rPr>
      </w:pPr>
      <w:r>
        <w:rPr>
          <w:color w:val="auto"/>
          <w:highlight w:val="none"/>
        </w:rPr>
        <w:t>接受项目行业管理部门及政府有关部门的指导，接受甲方的监督。</w:t>
      </w:r>
    </w:p>
    <w:p>
      <w:pPr>
        <w:pStyle w:val="2"/>
        <w:widowControl/>
        <w:numPr>
          <w:ilvl w:val="0"/>
          <w:numId w:val="86"/>
        </w:numPr>
        <w:ind w:left="0" w:leftChars="0" w:firstLine="480" w:firstLineChars="0"/>
        <w:rPr>
          <w:b w:val="0"/>
          <w:color w:val="auto"/>
          <w:highlight w:val="none"/>
        </w:rPr>
      </w:pPr>
      <w:r>
        <w:rPr>
          <w:color w:val="auto"/>
          <w:highlight w:val="none"/>
        </w:rPr>
        <w:t>国家法律、法规所规定由乙方承担的其它责任。</w:t>
      </w:r>
    </w:p>
    <w:p>
      <w:pPr>
        <w:pStyle w:val="2"/>
        <w:widowControl/>
        <w:numPr>
          <w:ilvl w:val="0"/>
          <w:numId w:val="80"/>
        </w:numPr>
        <w:ind w:left="0" w:leftChars="0" w:firstLine="480" w:firstLineChars="0"/>
        <w:rPr>
          <w:b w:val="0"/>
          <w:color w:val="auto"/>
          <w:highlight w:val="none"/>
        </w:rPr>
      </w:pPr>
      <w:r>
        <w:rPr>
          <w:color w:val="auto"/>
          <w:highlight w:val="none"/>
        </w:rPr>
        <w:t>违约责任</w:t>
      </w:r>
    </w:p>
    <w:p>
      <w:pPr>
        <w:pStyle w:val="2"/>
        <w:widowControl/>
        <w:numPr>
          <w:ilvl w:val="0"/>
          <w:numId w:val="87"/>
        </w:numPr>
        <w:ind w:left="0" w:leftChars="0" w:firstLine="480" w:firstLineChars="0"/>
        <w:rPr>
          <w:b w:val="0"/>
          <w:color w:val="auto"/>
          <w:highlight w:val="none"/>
        </w:rPr>
      </w:pPr>
      <w:r>
        <w:rPr>
          <w:color w:val="auto"/>
          <w:highlight w:val="none"/>
        </w:rPr>
        <w:t>甲乙双方必须遵守本合同并执行合同中的各项规定，保证本合同的正常履行。</w:t>
      </w:r>
    </w:p>
    <w:p>
      <w:pPr>
        <w:pStyle w:val="2"/>
        <w:widowControl/>
        <w:numPr>
          <w:ilvl w:val="0"/>
          <w:numId w:val="87"/>
        </w:numPr>
        <w:ind w:left="0" w:leftChars="0" w:firstLine="480" w:firstLineChars="0"/>
        <w:rPr>
          <w:b w:val="0"/>
          <w:color w:val="auto"/>
          <w:highlight w:val="none"/>
        </w:rPr>
      </w:pPr>
      <w:r>
        <w:rPr>
          <w:color w:val="auto"/>
          <w:highlight w:val="none"/>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2"/>
        <w:widowControl/>
        <w:numPr>
          <w:ilvl w:val="0"/>
          <w:numId w:val="80"/>
        </w:numPr>
        <w:ind w:left="0" w:leftChars="0" w:firstLine="480" w:firstLineChars="0"/>
        <w:rPr>
          <w:b w:val="0"/>
          <w:color w:val="auto"/>
          <w:highlight w:val="none"/>
        </w:rPr>
      </w:pPr>
      <w:r>
        <w:rPr>
          <w:color w:val="auto"/>
          <w:highlight w:val="none"/>
        </w:rPr>
        <w:t>不可抗力事件处理</w:t>
      </w:r>
    </w:p>
    <w:p>
      <w:pPr>
        <w:pStyle w:val="2"/>
        <w:widowControl/>
        <w:numPr>
          <w:ilvl w:val="0"/>
          <w:numId w:val="88"/>
        </w:numPr>
        <w:ind w:left="0" w:leftChars="0" w:firstLine="480" w:firstLineChars="0"/>
        <w:rPr>
          <w:b w:val="0"/>
          <w:color w:val="auto"/>
          <w:highlight w:val="none"/>
        </w:rPr>
      </w:pPr>
      <w:r>
        <w:rPr>
          <w:color w:val="auto"/>
          <w:highlight w:val="none"/>
        </w:rPr>
        <w:t>在合同有效期内，任何一方因不可抗力事件导致不能履行合同，则合同履行期可延长，其延长期与不可抗力影响期相同。</w:t>
      </w:r>
    </w:p>
    <w:p>
      <w:pPr>
        <w:pStyle w:val="2"/>
        <w:widowControl/>
        <w:numPr>
          <w:ilvl w:val="0"/>
          <w:numId w:val="88"/>
        </w:numPr>
        <w:ind w:left="0" w:leftChars="0" w:firstLine="480" w:firstLineChars="0"/>
        <w:rPr>
          <w:b w:val="0"/>
          <w:color w:val="auto"/>
          <w:highlight w:val="none"/>
        </w:rPr>
      </w:pPr>
      <w:r>
        <w:rPr>
          <w:color w:val="auto"/>
          <w:highlight w:val="none"/>
        </w:rPr>
        <w:t>不可抗力事件发生后，应立即通知对方，并寄送有关权威机构出具的证明。</w:t>
      </w:r>
    </w:p>
    <w:p>
      <w:pPr>
        <w:pStyle w:val="2"/>
        <w:widowControl/>
        <w:numPr>
          <w:ilvl w:val="0"/>
          <w:numId w:val="88"/>
        </w:numPr>
        <w:ind w:left="0" w:leftChars="0" w:firstLine="480" w:firstLineChars="0"/>
        <w:rPr>
          <w:b w:val="0"/>
          <w:color w:val="auto"/>
          <w:highlight w:val="none"/>
        </w:rPr>
      </w:pPr>
      <w:r>
        <w:rPr>
          <w:color w:val="auto"/>
          <w:highlight w:val="none"/>
        </w:rPr>
        <w:t>不可抗力事件延续XX天以上，双方应通过友好协商，确定是否继续履行合同。</w:t>
      </w:r>
    </w:p>
    <w:p>
      <w:pPr>
        <w:pStyle w:val="2"/>
        <w:widowControl/>
        <w:numPr>
          <w:ilvl w:val="0"/>
          <w:numId w:val="80"/>
        </w:numPr>
        <w:ind w:left="0" w:leftChars="0" w:firstLine="480" w:firstLineChars="0"/>
        <w:rPr>
          <w:b w:val="0"/>
          <w:color w:val="auto"/>
          <w:highlight w:val="none"/>
        </w:rPr>
      </w:pPr>
      <w:r>
        <w:rPr>
          <w:color w:val="auto"/>
          <w:highlight w:val="none"/>
        </w:rPr>
        <w:t>解决合同纠纷的方式</w:t>
      </w:r>
    </w:p>
    <w:p>
      <w:pPr>
        <w:pStyle w:val="2"/>
        <w:widowControl/>
        <w:numPr>
          <w:ilvl w:val="0"/>
          <w:numId w:val="89"/>
        </w:numPr>
        <w:ind w:left="0" w:leftChars="0" w:firstLine="480" w:firstLineChars="0"/>
        <w:rPr>
          <w:b w:val="0"/>
          <w:color w:val="auto"/>
          <w:highlight w:val="none"/>
        </w:rPr>
      </w:pPr>
      <w:r>
        <w:rPr>
          <w:color w:val="auto"/>
          <w:highlight w:val="none"/>
        </w:rPr>
        <w:t>在执行本合同中发生的或与本合同有关的争端，双方应通过友好协商解决，经协商在XX天内不能达成协议时，应提交当地仲裁委员会仲裁。</w:t>
      </w:r>
    </w:p>
    <w:p>
      <w:pPr>
        <w:pStyle w:val="2"/>
        <w:widowControl/>
        <w:numPr>
          <w:ilvl w:val="0"/>
          <w:numId w:val="89"/>
        </w:numPr>
        <w:ind w:left="0" w:leftChars="0" w:firstLine="480" w:firstLineChars="0"/>
        <w:rPr>
          <w:b w:val="0"/>
          <w:color w:val="auto"/>
          <w:highlight w:val="none"/>
        </w:rPr>
      </w:pPr>
      <w:r>
        <w:rPr>
          <w:color w:val="auto"/>
          <w:highlight w:val="none"/>
        </w:rPr>
        <w:t>仲裁裁决应为最终决定，并对双方具有约束力。</w:t>
      </w:r>
    </w:p>
    <w:p>
      <w:pPr>
        <w:pStyle w:val="2"/>
        <w:widowControl/>
        <w:numPr>
          <w:ilvl w:val="0"/>
          <w:numId w:val="89"/>
        </w:numPr>
        <w:ind w:left="0" w:leftChars="0" w:firstLine="480" w:firstLineChars="0"/>
        <w:rPr>
          <w:b w:val="0"/>
          <w:color w:val="auto"/>
          <w:highlight w:val="none"/>
        </w:rPr>
      </w:pPr>
      <w:r>
        <w:rPr>
          <w:color w:val="auto"/>
          <w:highlight w:val="none"/>
        </w:rPr>
        <w:t xml:space="preserve">除另有裁决外，仲裁费应由败诉方负担。 </w:t>
      </w:r>
    </w:p>
    <w:p>
      <w:pPr>
        <w:pStyle w:val="2"/>
        <w:widowControl/>
        <w:numPr>
          <w:ilvl w:val="0"/>
          <w:numId w:val="89"/>
        </w:numPr>
        <w:ind w:left="0" w:leftChars="0" w:firstLine="480" w:firstLineChars="0"/>
        <w:rPr>
          <w:b w:val="0"/>
          <w:color w:val="auto"/>
          <w:highlight w:val="none"/>
        </w:rPr>
      </w:pPr>
      <w:r>
        <w:rPr>
          <w:color w:val="auto"/>
          <w:highlight w:val="none"/>
        </w:rPr>
        <w:t xml:space="preserve">在仲裁期间，除正在进行仲裁部分外，合同其他部分继续执行。 </w:t>
      </w:r>
    </w:p>
    <w:p>
      <w:pPr>
        <w:pStyle w:val="2"/>
        <w:widowControl/>
        <w:numPr>
          <w:ilvl w:val="0"/>
          <w:numId w:val="80"/>
        </w:numPr>
        <w:ind w:left="0" w:leftChars="0" w:firstLine="480" w:firstLineChars="0"/>
        <w:rPr>
          <w:b w:val="0"/>
          <w:color w:val="auto"/>
          <w:highlight w:val="none"/>
        </w:rPr>
      </w:pPr>
      <w:r>
        <w:rPr>
          <w:color w:val="auto"/>
          <w:highlight w:val="none"/>
        </w:rPr>
        <w:t>合同生效及其他</w:t>
      </w:r>
    </w:p>
    <w:p>
      <w:pPr>
        <w:pStyle w:val="2"/>
        <w:widowControl/>
        <w:numPr>
          <w:ilvl w:val="0"/>
          <w:numId w:val="90"/>
        </w:numPr>
        <w:ind w:left="0" w:leftChars="0" w:firstLine="480" w:firstLineChars="0"/>
        <w:rPr>
          <w:b w:val="0"/>
          <w:color w:val="auto"/>
          <w:highlight w:val="none"/>
        </w:rPr>
      </w:pPr>
      <w:r>
        <w:rPr>
          <w:color w:val="auto"/>
          <w:highlight w:val="none"/>
        </w:rPr>
        <w:t>合同经双方法定代表人或授权委托代理人签字并加盖单位公章后生效。</w:t>
      </w:r>
    </w:p>
    <w:p>
      <w:pPr>
        <w:pStyle w:val="2"/>
        <w:widowControl/>
        <w:numPr>
          <w:ilvl w:val="0"/>
          <w:numId w:val="90"/>
        </w:numPr>
        <w:ind w:left="0" w:leftChars="0" w:firstLine="480" w:firstLineChars="0"/>
        <w:rPr>
          <w:b w:val="0"/>
          <w:color w:val="auto"/>
          <w:highlight w:val="none"/>
        </w:rPr>
      </w:pPr>
      <w:r>
        <w:rPr>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2"/>
        <w:widowControl/>
        <w:numPr>
          <w:ilvl w:val="0"/>
          <w:numId w:val="90"/>
        </w:numPr>
        <w:ind w:left="0" w:leftChars="0" w:firstLine="480" w:firstLineChars="0"/>
        <w:rPr>
          <w:b w:val="0"/>
          <w:color w:val="auto"/>
          <w:highlight w:val="none"/>
        </w:rPr>
      </w:pPr>
      <w:r>
        <w:rPr>
          <w:color w:val="auto"/>
          <w:highlight w:val="none"/>
        </w:rPr>
        <w:t>本合同一式四份，自双方签章之日起起效。甲方XX份，乙方XX份，具有同等法律效力。</w:t>
      </w:r>
    </w:p>
    <w:p>
      <w:pPr>
        <w:pStyle w:val="2"/>
        <w:widowControl/>
        <w:numPr>
          <w:ilvl w:val="0"/>
          <w:numId w:val="80"/>
        </w:numPr>
        <w:ind w:left="0" w:leftChars="0" w:firstLine="480" w:firstLineChars="0"/>
        <w:rPr>
          <w:b w:val="0"/>
          <w:color w:val="auto"/>
          <w:highlight w:val="none"/>
        </w:rPr>
      </w:pPr>
      <w:r>
        <w:rPr>
          <w:color w:val="auto"/>
          <w:highlight w:val="none"/>
        </w:rPr>
        <w:t>附件</w:t>
      </w:r>
    </w:p>
    <w:p>
      <w:pPr>
        <w:pStyle w:val="2"/>
        <w:widowControl/>
        <w:numPr>
          <w:ilvl w:val="0"/>
          <w:numId w:val="91"/>
        </w:numPr>
        <w:ind w:left="0" w:leftChars="0" w:firstLine="480" w:firstLineChars="0"/>
        <w:rPr>
          <w:b w:val="0"/>
          <w:color w:val="auto"/>
          <w:highlight w:val="none"/>
        </w:rPr>
      </w:pPr>
      <w:r>
        <w:rPr>
          <w:color w:val="auto"/>
          <w:highlight w:val="none"/>
        </w:rPr>
        <w:t>项目磋商文件</w:t>
      </w:r>
    </w:p>
    <w:p>
      <w:pPr>
        <w:pStyle w:val="2"/>
        <w:widowControl/>
        <w:numPr>
          <w:ilvl w:val="0"/>
          <w:numId w:val="91"/>
        </w:numPr>
        <w:ind w:left="0" w:leftChars="0" w:firstLine="480" w:firstLineChars="0"/>
        <w:rPr>
          <w:b w:val="0"/>
          <w:color w:val="auto"/>
          <w:highlight w:val="none"/>
        </w:rPr>
      </w:pPr>
      <w:r>
        <w:rPr>
          <w:color w:val="auto"/>
          <w:highlight w:val="none"/>
        </w:rPr>
        <w:t>项目响应文件</w:t>
      </w:r>
    </w:p>
    <w:p>
      <w:pPr>
        <w:pStyle w:val="2"/>
        <w:widowControl/>
        <w:numPr>
          <w:ilvl w:val="0"/>
          <w:numId w:val="91"/>
        </w:numPr>
        <w:ind w:left="0" w:leftChars="0" w:firstLine="480" w:firstLineChars="0"/>
        <w:rPr>
          <w:b w:val="0"/>
          <w:color w:val="auto"/>
          <w:highlight w:val="none"/>
        </w:rPr>
      </w:pPr>
      <w:r>
        <w:rPr>
          <w:color w:val="auto"/>
          <w:highlight w:val="none"/>
        </w:rPr>
        <w:t>成交通知书</w:t>
      </w:r>
    </w:p>
    <w:p>
      <w:pPr>
        <w:pStyle w:val="2"/>
        <w:widowControl/>
        <w:numPr>
          <w:ilvl w:val="0"/>
          <w:numId w:val="91"/>
        </w:numPr>
        <w:ind w:left="0" w:leftChars="0" w:firstLine="480" w:firstLineChars="0"/>
        <w:rPr>
          <w:b w:val="0"/>
          <w:color w:val="auto"/>
          <w:highlight w:val="none"/>
        </w:rPr>
      </w:pPr>
      <w:r>
        <w:rPr>
          <w:color w:val="auto"/>
          <w:highlight w:val="none"/>
        </w:rPr>
        <w:t>其他</w:t>
      </w:r>
    </w:p>
    <w:p>
      <w:pPr>
        <w:pStyle w:val="18"/>
        <w:spacing w:line="240" w:lineRule="auto"/>
        <w:rPr>
          <w:rFonts w:hint="eastAsia" w:ascii="宋体" w:eastAsia="宋体" w:cs="Times New Roman"/>
          <w:color w:val="auto"/>
          <w:kern w:val="2"/>
          <w:sz w:val="24"/>
          <w:szCs w:val="24"/>
          <w:highlight w:val="none"/>
          <w:lang w:val="en-US" w:eastAsia="zh-CN" w:bidi="ar-SA"/>
        </w:rPr>
      </w:pPr>
    </w:p>
    <w:p>
      <w:pPr>
        <w:pStyle w:val="18"/>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甲方： （盖章）                    乙方： （盖章）</w:t>
      </w:r>
    </w:p>
    <w:p>
      <w:pPr>
        <w:pStyle w:val="18"/>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法定代表人（授权代表）：           法定代表人（授权代表）：</w:t>
      </w:r>
    </w:p>
    <w:p>
      <w:pPr>
        <w:pStyle w:val="18"/>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地 址：                            地 址：</w:t>
      </w:r>
    </w:p>
    <w:p>
      <w:pPr>
        <w:pStyle w:val="18"/>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电 话：                            电 话：</w:t>
      </w:r>
    </w:p>
    <w:p>
      <w:pPr>
        <w:pStyle w:val="18"/>
        <w:spacing w:line="240" w:lineRule="auto"/>
        <w:ind w:firstLine="480"/>
        <w:rPr>
          <w:rFonts w:hint="eastAsia" w:ascii="宋体" w:eastAsia="宋体" w:cs="Times New Roman"/>
          <w:color w:val="auto"/>
          <w:kern w:val="2"/>
          <w:sz w:val="24"/>
          <w:szCs w:val="24"/>
          <w:highlight w:val="none"/>
          <w:lang w:val="en-US" w:eastAsia="zh-CN" w:bidi="ar-SA"/>
        </w:rPr>
      </w:pPr>
      <w:r>
        <w:rPr>
          <w:rFonts w:hint="eastAsia" w:ascii="宋体" w:eastAsia="宋体" w:cs="Times New Roman"/>
          <w:color w:val="auto"/>
          <w:kern w:val="2"/>
          <w:sz w:val="24"/>
          <w:szCs w:val="24"/>
          <w:highlight w:val="none"/>
          <w:lang w:val="en-US" w:eastAsia="zh-CN" w:bidi="ar-SA"/>
        </w:rPr>
        <w:t>签约日期：XX年X月XX日            签约日期：XX年X月XX日</w:t>
      </w:r>
    </w:p>
    <w:sectPr>
      <w:headerReference r:id="rId22" w:type="default"/>
      <w:footerReference r:id="rId23" w:type="default"/>
      <w:pgSz w:w="11906" w:h="16839"/>
      <w:pgMar w:top="1417" w:right="1417" w:bottom="1417" w:left="1417" w:header="1084" w:footer="1071" w:gutter="0"/>
      <w:pgNumType w:fmt="decimal"/>
      <w:cols w:space="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auto"/>
      <w:rPr>
        <w:rFonts w:ascii="宋体" w:hAnsi="宋体" w:eastAsia="宋体" w:cs="宋体"/>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1"/>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568"/>
      </w:tabs>
      <w:spacing w:line="193" w:lineRule="auto"/>
      <w:ind w:left="4372"/>
      <w:rPr>
        <w:rFonts w:ascii="宋体" w:hAnsi="宋体" w:eastAsia="宋体" w:cs="宋体"/>
        <w:sz w:val="17"/>
        <w:szCs w:val="17"/>
      </w:rPr>
    </w:pPr>
    <w:r>
      <w:rPr>
        <w:rFonts w:hint="eastAsia" w:ascii="宋体" w:hAnsi="宋体" w:eastAsia="宋体" w:cs="宋体"/>
        <w:sz w:val="17"/>
        <w:szCs w:val="17"/>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89"/>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TakM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ZNqQw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29"/>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HzX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MfNc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1"/>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j4TDI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300" cy="131445"/>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14300" cy="131445"/>
                      </a:xfrm>
                      <a:prstGeom prst="rect">
                        <a:avLst/>
                      </a:prstGeom>
                      <a:noFill/>
                      <a:ln>
                        <a:noFill/>
                      </a:ln>
                      <a:effectLst/>
                    </wps:spPr>
                    <wps:txbx>
                      <w:txbxContent>
                        <w:p>
                          <w:pPr>
                            <w:pStyle w:val="13"/>
                          </w:pPr>
                          <w:r>
                            <w:fldChar w:fldCharType="begin"/>
                          </w:r>
                          <w:r>
                            <w:instrText xml:space="preserve"> PAGE  \* MERGEFORMAT </w:instrText>
                          </w:r>
                          <w:r>
                            <w:fldChar w:fldCharType="separate"/>
                          </w:r>
                          <w:r>
                            <w:t>22</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70528;mso-width-relative:page;mso-height-relative:page;" filled="f" stroked="f" coordsize="21600,21600" o:gfxdata="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v7yJ88AAAADAQAADwAAAAAAAAABACAAAAA4AAAAZHJzL2Rv&#10;d25yZXYueG1sUEsBAhQAFAAAAAgAh07iQNCzZHK7AQAAXQMAAA4AAAAAAAAAAQAgAAAANAEAAGRy&#10;cy9lMm9Eb2MueG1sUEsFBgAAAAAGAAYAWQEAAGE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300" cy="13144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14300" cy="131445"/>
                      </a:xfrm>
                      <a:prstGeom prst="rect">
                        <a:avLst/>
                      </a:prstGeom>
                      <a:noFill/>
                      <a:ln>
                        <a:noFill/>
                      </a:ln>
                      <a:effectLst/>
                    </wps:spPr>
                    <wps:txbx>
                      <w:txbxContent>
                        <w:p>
                          <w:pPr>
                            <w:pStyle w:val="13"/>
                          </w:pPr>
                          <w:r>
                            <w:fldChar w:fldCharType="begin"/>
                          </w:r>
                          <w:r>
                            <w:instrText xml:space="preserve"> PAGE  \* MERGEFORMAT </w:instrText>
                          </w:r>
                          <w:r>
                            <w:fldChar w:fldCharType="separate"/>
                          </w:r>
                          <w:r>
                            <w:t>36</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9pt;mso-position-horizontal:center;mso-position-horizontal-relative:margin;mso-wrap-style:none;z-index:251671552;mso-width-relative:page;mso-height-relative:page;" filled="f" stroked="f" coordsize="21600,21600" o:gfxdata="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L+8ifPAAAAAwEAAA8AAAAAAAAAAQAgAAAAOAAAAGRycy9k&#10;b3ducmV2LnhtbFBLAQIUABQAAAAIAIdO4kDcce4yvAEAAF8DAAAOAAAAAAAAAAEAIAAAADQBAABk&#10;cnMvZTJvRG9jLnhtbFBLBQYAAAAABgAGAFkBAABi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30"/>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qqOGwIAACsEAAAOAAAAZHJz&#10;L2Uyb0RvYy54bWytU8uO0zAU3SPxD5b3NGkRQ1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PWYEsM0dnT69vX0/en04wuB&#10;DQA1LswQt3GIjO0b2xY0+r0YXAH2NHorvU43hiIIAdrHC8KijYTDOJ5OptMcLg7foKBEdn3ufIhv&#10;hdUkCQX1WGGHLDusQzyHDiGpmrGrWqlujcqQpqA3L1/l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KOqqOGwIAACsEAAAOAAAAAAAAAAEAIAAAADU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63"/>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p>
  <w:p>
    <w:pPr>
      <w:spacing w:before="17" w:line="69"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r>
      <w:pict>
        <v:rect id="_x0000_s2053" o:spid="_x0000_s2053"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18"/>
      </w:tabs>
      <w:spacing w:line="300" w:lineRule="exact"/>
      <w:textAlignment w:val="center"/>
    </w:pPr>
    <w:r>
      <w:pict>
        <v:rect id="_x0000_s2063" o:spid="_x0000_s2063"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ind w:firstLine="2"/>
      <w:textAlignment w:val="center"/>
    </w:pPr>
    <w:r>
      <w:pict>
        <v:rect id="_x0000_s2065" o:spid="_x0000_s2065" o:spt="1" style="position:absolute;left:0pt;margin-left:76.55pt;margin-top:70.2pt;height:0.75pt;width:441.1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929005</wp:posOffset>
              </wp:positionH>
              <wp:positionV relativeFrom="page">
                <wp:posOffset>1112520</wp:posOffset>
              </wp:positionV>
              <wp:extent cx="56667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6740" cy="0"/>
                      </a:xfrm>
                      <a:prstGeom prst="line">
                        <a:avLst/>
                      </a:prstGeom>
                      <a:ln w="6096"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3.15pt;margin-top:87.6pt;height:0pt;width:446.2pt;mso-position-horizontal-relative:page;mso-position-vertical-relative:page;z-index:-251653120;mso-width-relative:page;mso-height-relative:page;" filled="f" stroked="t" coordsize="21600,21600" o:gfxdata="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Gl5mxdkAAAAMAQAADwAAAAAAAAABACAAAAA4AAAAZHJzL2Rvd25yZXYueG1s&#10;UEsBAhQAFAAAAAgAh07iQF/fAJrhAQAApwMAAA4AAAAAAAAAAQAgAAAAPgEAAGRycy9lMm9Eb2Mu&#10;eG1sUEsFBgAAAAAGAAYAWQEAAJE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5440045</wp:posOffset>
              </wp:positionH>
              <wp:positionV relativeFrom="page">
                <wp:posOffset>931545</wp:posOffset>
              </wp:positionV>
              <wp:extent cx="956945" cy="15811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956945" cy="158115"/>
                      </a:xfrm>
                      <a:prstGeom prst="rect">
                        <a:avLst/>
                      </a:prstGeom>
                      <a:noFill/>
                      <a:ln>
                        <a:noFill/>
                      </a:ln>
                      <a:effectLst/>
                    </wps:spPr>
                    <wps:txbx>
                      <w:txbxContent>
                        <w:p>
                          <w:pPr>
                            <w:rPr>
                              <w:rFonts w:hint="eastAsia"/>
                            </w:rPr>
                          </w:pPr>
                        </w:p>
                      </w:txbxContent>
                    </wps:txbx>
                    <wps:bodyPr lIns="0" tIns="0" rIns="0" bIns="0" upright="true"/>
                  </wps:wsp>
                </a:graphicData>
              </a:graphic>
            </wp:anchor>
          </w:drawing>
        </mc:Choice>
        <mc:Fallback>
          <w:pict>
            <v:shape id="_x0000_s1026" o:spid="_x0000_s1026" o:spt="202" type="#_x0000_t202" style="position:absolute;left:0pt;margin-left:428.35pt;margin-top:73.35pt;height:12.45pt;width:75.35pt;mso-position-horizontal-relative:page;mso-position-vertical-relative:page;z-index:-251652096;mso-width-relative:page;mso-height-relative:page;" filled="f" stroked="f" coordsize="21600,21600" o:gfxdata="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4fqUpNkAAAAMAQAADwAAAAAAAAABACAAAAA4AAAAZHJzL2Rvd25yZXYueG1sUEsB&#10;AhQAFAAAAAgAh07iQLSsvUWlAQAANwMAAA4AAAAAAAAAAQAgAAAAPgEAAGRycy9lMm9Eb2MueG1s&#10;UEsFBgAAAAAGAAYAWQEAAFUFAAAAAA==&#10;">
              <v:fill on="f" focussize="0,0"/>
              <v:stroke on="f"/>
              <v:imagedata o:title=""/>
              <o:lock v:ext="edit" aspectratio="f"/>
              <v:textbox inset="0mm,0mm,0mm,0mm">
                <w:txbxContent>
                  <w:p>
                    <w:pPr>
                      <w:rPr>
                        <w:rFonts w:hint="eastAsia"/>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textAlignment w:val="center"/>
    </w:pPr>
  </w:p>
  <w:p>
    <w:pPr>
      <w:spacing w:before="17" w:line="69" w:lineRule="exact"/>
      <w:textAlignment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18"/>
      </w:tabs>
      <w:spacing w:line="300" w:lineRule="exact"/>
      <w:textAlignment w:val="center"/>
    </w:pPr>
    <w:r>
      <w:pict>
        <v:rect id="_x0000_s2090" o:spid="_x0000_s2090" o:spt="1" style="position:absolute;left:0pt;margin-left:76.55pt;margin-top:70.2pt;height:0.75pt;width:441.1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B8D44"/>
    <w:multiLevelType w:val="singleLevel"/>
    <w:tmpl w:val="827B8D44"/>
    <w:lvl w:ilvl="0" w:tentative="0">
      <w:start w:val="1"/>
      <w:numFmt w:val="decimal"/>
      <w:suff w:val="space"/>
      <w:lvlText w:val="%1."/>
      <w:lvlJc w:val="left"/>
      <w:pPr>
        <w:ind w:left="0" w:firstLine="480"/>
      </w:pPr>
      <w:rPr>
        <w:rFonts w:hint="default"/>
      </w:rPr>
    </w:lvl>
  </w:abstractNum>
  <w:abstractNum w:abstractNumId="1">
    <w:nsid w:val="841998AE"/>
    <w:multiLevelType w:val="singleLevel"/>
    <w:tmpl w:val="841998AE"/>
    <w:lvl w:ilvl="0" w:tentative="0">
      <w:start w:val="1"/>
      <w:numFmt w:val="chineseCounting"/>
      <w:suff w:val="space"/>
      <w:lvlText w:val="(%1)"/>
      <w:lvlJc w:val="left"/>
      <w:pPr>
        <w:ind w:left="0" w:firstLine="480"/>
      </w:pPr>
      <w:rPr>
        <w:rFonts w:hint="eastAsia"/>
      </w:rPr>
    </w:lvl>
  </w:abstractNum>
  <w:abstractNum w:abstractNumId="2">
    <w:nsid w:val="848D6AED"/>
    <w:multiLevelType w:val="singleLevel"/>
    <w:tmpl w:val="848D6AED"/>
    <w:lvl w:ilvl="0" w:tentative="0">
      <w:start w:val="25"/>
      <w:numFmt w:val="decimal"/>
      <w:suff w:val="nothing"/>
      <w:lvlText w:val="%1．"/>
      <w:lvlJc w:val="left"/>
      <w:pPr>
        <w:ind w:left="0" w:firstLine="0"/>
      </w:pPr>
      <w:rPr>
        <w:rFonts w:hint="default"/>
      </w:rPr>
    </w:lvl>
  </w:abstractNum>
  <w:abstractNum w:abstractNumId="3">
    <w:nsid w:val="85B5F6C6"/>
    <w:multiLevelType w:val="singleLevel"/>
    <w:tmpl w:val="85B5F6C6"/>
    <w:lvl w:ilvl="0" w:tentative="0">
      <w:start w:val="1"/>
      <w:numFmt w:val="decimal"/>
      <w:suff w:val="space"/>
      <w:lvlText w:val="25.%1"/>
      <w:lvlJc w:val="left"/>
      <w:pPr>
        <w:ind w:left="0" w:firstLine="480"/>
      </w:pPr>
      <w:rPr>
        <w:rFonts w:hint="default"/>
      </w:rPr>
    </w:lvl>
  </w:abstractNum>
  <w:abstractNum w:abstractNumId="4">
    <w:nsid w:val="8ACA81CE"/>
    <w:multiLevelType w:val="singleLevel"/>
    <w:tmpl w:val="8ACA81CE"/>
    <w:lvl w:ilvl="0" w:tentative="0">
      <w:start w:val="1"/>
      <w:numFmt w:val="decimal"/>
      <w:suff w:val="space"/>
      <w:lvlText w:val="3.%1"/>
      <w:lvlJc w:val="left"/>
      <w:pPr>
        <w:ind w:left="0" w:firstLine="480"/>
      </w:pPr>
      <w:rPr>
        <w:rFonts w:hint="default"/>
      </w:rPr>
    </w:lvl>
  </w:abstractNum>
  <w:abstractNum w:abstractNumId="5">
    <w:nsid w:val="8F915B9C"/>
    <w:multiLevelType w:val="singleLevel"/>
    <w:tmpl w:val="8F915B9C"/>
    <w:lvl w:ilvl="0" w:tentative="0">
      <w:start w:val="1"/>
      <w:numFmt w:val="chineseCounting"/>
      <w:suff w:val="nothing"/>
      <w:lvlText w:val="（%1）"/>
      <w:lvlJc w:val="left"/>
      <w:pPr>
        <w:ind w:left="0" w:firstLine="480"/>
      </w:pPr>
      <w:rPr>
        <w:rFonts w:hint="eastAsia"/>
      </w:rPr>
    </w:lvl>
  </w:abstractNum>
  <w:abstractNum w:abstractNumId="6">
    <w:nsid w:val="90BA587F"/>
    <w:multiLevelType w:val="singleLevel"/>
    <w:tmpl w:val="90BA587F"/>
    <w:lvl w:ilvl="0" w:tentative="0">
      <w:start w:val="1"/>
      <w:numFmt w:val="decimal"/>
      <w:suff w:val="space"/>
      <w:lvlText w:val="2.2.%1"/>
      <w:lvlJc w:val="left"/>
      <w:pPr>
        <w:ind w:left="0" w:firstLine="480"/>
      </w:pPr>
      <w:rPr>
        <w:rFonts w:hint="default"/>
      </w:rPr>
    </w:lvl>
  </w:abstractNum>
  <w:abstractNum w:abstractNumId="7">
    <w:nsid w:val="91171B55"/>
    <w:multiLevelType w:val="singleLevel"/>
    <w:tmpl w:val="91171B55"/>
    <w:lvl w:ilvl="0" w:tentative="0">
      <w:start w:val="1"/>
      <w:numFmt w:val="chineseCounting"/>
      <w:suff w:val="nothing"/>
      <w:lvlText w:val="%1、"/>
      <w:lvlJc w:val="left"/>
      <w:pPr>
        <w:ind w:left="0" w:firstLine="480"/>
      </w:pPr>
      <w:rPr>
        <w:rFonts w:hint="eastAsia"/>
      </w:rPr>
    </w:lvl>
  </w:abstractNum>
  <w:abstractNum w:abstractNumId="8">
    <w:nsid w:val="927E99EA"/>
    <w:multiLevelType w:val="singleLevel"/>
    <w:tmpl w:val="927E99EA"/>
    <w:lvl w:ilvl="0" w:tentative="0">
      <w:start w:val="1"/>
      <w:numFmt w:val="decimal"/>
      <w:suff w:val="nothing"/>
      <w:lvlText w:val="%1．"/>
      <w:lvlJc w:val="left"/>
      <w:pPr>
        <w:ind w:left="0" w:firstLine="0"/>
      </w:pPr>
      <w:rPr>
        <w:rFonts w:hint="default"/>
      </w:rPr>
    </w:lvl>
  </w:abstractNum>
  <w:abstractNum w:abstractNumId="9">
    <w:nsid w:val="9C0B18DF"/>
    <w:multiLevelType w:val="singleLevel"/>
    <w:tmpl w:val="9C0B18DF"/>
    <w:lvl w:ilvl="0" w:tentative="0">
      <w:start w:val="1"/>
      <w:numFmt w:val="chineseCounting"/>
      <w:suff w:val="space"/>
      <w:lvlText w:val="(%1)"/>
      <w:lvlJc w:val="left"/>
      <w:pPr>
        <w:ind w:left="0" w:firstLine="0"/>
      </w:pPr>
      <w:rPr>
        <w:rFonts w:hint="eastAsia"/>
      </w:rPr>
    </w:lvl>
  </w:abstractNum>
  <w:abstractNum w:abstractNumId="10">
    <w:nsid w:val="9FDF817F"/>
    <w:multiLevelType w:val="singleLevel"/>
    <w:tmpl w:val="9FDF817F"/>
    <w:lvl w:ilvl="0" w:tentative="0">
      <w:start w:val="1"/>
      <w:numFmt w:val="decimal"/>
      <w:suff w:val="space"/>
      <w:lvlText w:val="21.%1"/>
      <w:lvlJc w:val="left"/>
      <w:pPr>
        <w:ind w:left="0" w:firstLine="480"/>
      </w:pPr>
      <w:rPr>
        <w:rFonts w:hint="default"/>
      </w:rPr>
    </w:lvl>
  </w:abstractNum>
  <w:abstractNum w:abstractNumId="11">
    <w:nsid w:val="A2E0C34E"/>
    <w:multiLevelType w:val="singleLevel"/>
    <w:tmpl w:val="A2E0C34E"/>
    <w:lvl w:ilvl="0" w:tentative="0">
      <w:start w:val="1"/>
      <w:numFmt w:val="chineseCounting"/>
      <w:suff w:val="space"/>
      <w:lvlText w:val="第%1条"/>
      <w:lvlJc w:val="left"/>
      <w:pPr>
        <w:ind w:left="0" w:firstLine="480"/>
      </w:pPr>
      <w:rPr>
        <w:rFonts w:hint="eastAsia"/>
      </w:rPr>
    </w:lvl>
  </w:abstractNum>
  <w:abstractNum w:abstractNumId="12">
    <w:nsid w:val="A36C8FC7"/>
    <w:multiLevelType w:val="singleLevel"/>
    <w:tmpl w:val="A36C8FC7"/>
    <w:lvl w:ilvl="0" w:tentative="0">
      <w:start w:val="1"/>
      <w:numFmt w:val="decimal"/>
      <w:suff w:val="space"/>
      <w:lvlText w:val="%1."/>
      <w:lvlJc w:val="left"/>
      <w:pPr>
        <w:ind w:left="0" w:firstLine="480"/>
      </w:pPr>
      <w:rPr>
        <w:rFonts w:hint="default"/>
      </w:rPr>
    </w:lvl>
  </w:abstractNum>
  <w:abstractNum w:abstractNumId="13">
    <w:nsid w:val="A4F38A11"/>
    <w:multiLevelType w:val="singleLevel"/>
    <w:tmpl w:val="A4F38A11"/>
    <w:lvl w:ilvl="0" w:tentative="0">
      <w:start w:val="1"/>
      <w:numFmt w:val="decimal"/>
      <w:suff w:val="space"/>
      <w:lvlText w:val="28.%1"/>
      <w:lvlJc w:val="left"/>
      <w:pPr>
        <w:ind w:left="0" w:firstLine="480"/>
      </w:pPr>
      <w:rPr>
        <w:rFonts w:hint="default"/>
      </w:rPr>
    </w:lvl>
  </w:abstractNum>
  <w:abstractNum w:abstractNumId="14">
    <w:nsid w:val="AAFE26B5"/>
    <w:multiLevelType w:val="singleLevel"/>
    <w:tmpl w:val="AAFE26B5"/>
    <w:lvl w:ilvl="0" w:tentative="0">
      <w:start w:val="1"/>
      <w:numFmt w:val="decimal"/>
      <w:suff w:val="space"/>
      <w:lvlText w:val="%1."/>
      <w:lvlJc w:val="left"/>
      <w:pPr>
        <w:ind w:left="0" w:firstLine="480"/>
      </w:pPr>
      <w:rPr>
        <w:rFonts w:hint="default"/>
      </w:rPr>
    </w:lvl>
  </w:abstractNum>
  <w:abstractNum w:abstractNumId="15">
    <w:nsid w:val="ABC7EB58"/>
    <w:multiLevelType w:val="singleLevel"/>
    <w:tmpl w:val="ABC7EB58"/>
    <w:lvl w:ilvl="0" w:tentative="0">
      <w:start w:val="1"/>
      <w:numFmt w:val="chineseCounting"/>
      <w:suff w:val="nothing"/>
      <w:lvlText w:val="（%1）"/>
      <w:lvlJc w:val="left"/>
      <w:pPr>
        <w:ind w:left="0" w:firstLine="0"/>
      </w:pPr>
      <w:rPr>
        <w:rFonts w:hint="eastAsia"/>
      </w:rPr>
    </w:lvl>
  </w:abstractNum>
  <w:abstractNum w:abstractNumId="16">
    <w:nsid w:val="AC98D2E2"/>
    <w:multiLevelType w:val="singleLevel"/>
    <w:tmpl w:val="AC98D2E2"/>
    <w:lvl w:ilvl="0" w:tentative="0">
      <w:start w:val="1"/>
      <w:numFmt w:val="decimal"/>
      <w:suff w:val="space"/>
      <w:lvlText w:val="%1)"/>
      <w:lvlJc w:val="left"/>
      <w:pPr>
        <w:ind w:left="0" w:firstLine="480"/>
      </w:pPr>
      <w:rPr>
        <w:rFonts w:hint="default"/>
      </w:rPr>
    </w:lvl>
  </w:abstractNum>
  <w:abstractNum w:abstractNumId="17">
    <w:nsid w:val="AD32E460"/>
    <w:multiLevelType w:val="singleLevel"/>
    <w:tmpl w:val="AD32E460"/>
    <w:lvl w:ilvl="0" w:tentative="0">
      <w:start w:val="1"/>
      <w:numFmt w:val="decimal"/>
      <w:suff w:val="space"/>
      <w:lvlText w:val="3.3.%1"/>
      <w:lvlJc w:val="left"/>
      <w:pPr>
        <w:ind w:left="0" w:firstLine="480"/>
      </w:pPr>
      <w:rPr>
        <w:rFonts w:hint="default"/>
      </w:rPr>
    </w:lvl>
  </w:abstractNum>
  <w:abstractNum w:abstractNumId="18">
    <w:nsid w:val="AE59AC03"/>
    <w:multiLevelType w:val="singleLevel"/>
    <w:tmpl w:val="AE59AC03"/>
    <w:lvl w:ilvl="0" w:tentative="0">
      <w:start w:val="1"/>
      <w:numFmt w:val="chineseCounting"/>
      <w:suff w:val="nothing"/>
      <w:lvlText w:val="%1、"/>
      <w:lvlJc w:val="left"/>
      <w:pPr>
        <w:ind w:left="0" w:firstLine="0"/>
      </w:pPr>
      <w:rPr>
        <w:rFonts w:hint="eastAsia"/>
      </w:rPr>
    </w:lvl>
  </w:abstractNum>
  <w:abstractNum w:abstractNumId="19">
    <w:nsid w:val="AFC4AFB0"/>
    <w:multiLevelType w:val="singleLevel"/>
    <w:tmpl w:val="AFC4AFB0"/>
    <w:lvl w:ilvl="0" w:tentative="0">
      <w:start w:val="1"/>
      <w:numFmt w:val="chineseCounting"/>
      <w:suff w:val="nothing"/>
      <w:lvlText w:val="%1、"/>
      <w:lvlJc w:val="left"/>
      <w:pPr>
        <w:ind w:left="0" w:firstLine="0"/>
      </w:pPr>
      <w:rPr>
        <w:rFonts w:hint="eastAsia"/>
      </w:rPr>
    </w:lvl>
  </w:abstractNum>
  <w:abstractNum w:abstractNumId="20">
    <w:nsid w:val="B1BC1A79"/>
    <w:multiLevelType w:val="singleLevel"/>
    <w:tmpl w:val="B1BC1A79"/>
    <w:lvl w:ilvl="0" w:tentative="0">
      <w:start w:val="1"/>
      <w:numFmt w:val="decimal"/>
      <w:suff w:val="space"/>
      <w:lvlText w:val="12.%1"/>
      <w:lvlJc w:val="left"/>
      <w:pPr>
        <w:ind w:left="0" w:firstLine="480"/>
      </w:pPr>
      <w:rPr>
        <w:rFonts w:hint="default"/>
      </w:rPr>
    </w:lvl>
  </w:abstractNum>
  <w:abstractNum w:abstractNumId="21">
    <w:nsid w:val="BA620282"/>
    <w:multiLevelType w:val="singleLevel"/>
    <w:tmpl w:val="BA620282"/>
    <w:lvl w:ilvl="0" w:tentative="0">
      <w:start w:val="1"/>
      <w:numFmt w:val="chineseCounting"/>
      <w:suff w:val="nothing"/>
      <w:lvlText w:val="%1、"/>
      <w:lvlJc w:val="left"/>
      <w:pPr>
        <w:ind w:left="0" w:firstLine="480"/>
      </w:pPr>
      <w:rPr>
        <w:rFonts w:hint="eastAsia"/>
      </w:rPr>
    </w:lvl>
  </w:abstractNum>
  <w:abstractNum w:abstractNumId="22">
    <w:nsid w:val="C037747E"/>
    <w:multiLevelType w:val="singleLevel"/>
    <w:tmpl w:val="C037747E"/>
    <w:lvl w:ilvl="0" w:tentative="0">
      <w:start w:val="1"/>
      <w:numFmt w:val="decimal"/>
      <w:suff w:val="space"/>
      <w:lvlText w:val="(%1)"/>
      <w:lvlJc w:val="left"/>
      <w:pPr>
        <w:ind w:left="0" w:firstLine="480"/>
      </w:pPr>
      <w:rPr>
        <w:rFonts w:hint="default"/>
      </w:rPr>
    </w:lvl>
  </w:abstractNum>
  <w:abstractNum w:abstractNumId="23">
    <w:nsid w:val="C2CDA367"/>
    <w:multiLevelType w:val="singleLevel"/>
    <w:tmpl w:val="C2CDA367"/>
    <w:lvl w:ilvl="0" w:tentative="0">
      <w:start w:val="1"/>
      <w:numFmt w:val="decimal"/>
      <w:suff w:val="nothing"/>
      <w:lvlText w:val="（%1）"/>
      <w:lvlJc w:val="left"/>
      <w:pPr>
        <w:ind w:left="0" w:firstLine="480"/>
      </w:pPr>
      <w:rPr>
        <w:rFonts w:hint="default"/>
      </w:rPr>
    </w:lvl>
  </w:abstractNum>
  <w:abstractNum w:abstractNumId="24">
    <w:nsid w:val="C48FF4DA"/>
    <w:multiLevelType w:val="singleLevel"/>
    <w:tmpl w:val="C48FF4DA"/>
    <w:lvl w:ilvl="0" w:tentative="0">
      <w:start w:val="1"/>
      <w:numFmt w:val="decimal"/>
      <w:suff w:val="space"/>
      <w:lvlText w:val="%1."/>
      <w:lvlJc w:val="left"/>
      <w:pPr>
        <w:ind w:left="0" w:firstLine="480"/>
      </w:pPr>
      <w:rPr>
        <w:rFonts w:hint="default"/>
      </w:rPr>
    </w:lvl>
  </w:abstractNum>
  <w:abstractNum w:abstractNumId="25">
    <w:nsid w:val="C9001537"/>
    <w:multiLevelType w:val="singleLevel"/>
    <w:tmpl w:val="C9001537"/>
    <w:lvl w:ilvl="0" w:tentative="0">
      <w:start w:val="1"/>
      <w:numFmt w:val="decimal"/>
      <w:suff w:val="space"/>
      <w:lvlText w:val="2.%1"/>
      <w:lvlJc w:val="left"/>
      <w:pPr>
        <w:ind w:left="0" w:firstLine="480"/>
      </w:pPr>
      <w:rPr>
        <w:rFonts w:hint="default"/>
      </w:rPr>
    </w:lvl>
  </w:abstractNum>
  <w:abstractNum w:abstractNumId="26">
    <w:nsid w:val="C9FDD350"/>
    <w:multiLevelType w:val="singleLevel"/>
    <w:tmpl w:val="C9FDD350"/>
    <w:lvl w:ilvl="0" w:tentative="0">
      <w:start w:val="1"/>
      <w:numFmt w:val="decimal"/>
      <w:suff w:val="space"/>
      <w:lvlText w:val="10.%1"/>
      <w:lvlJc w:val="left"/>
      <w:pPr>
        <w:ind w:left="0" w:firstLine="480"/>
      </w:pPr>
      <w:rPr>
        <w:rFonts w:hint="default"/>
      </w:rPr>
    </w:lvl>
  </w:abstractNum>
  <w:abstractNum w:abstractNumId="27">
    <w:nsid w:val="CE52B651"/>
    <w:multiLevelType w:val="singleLevel"/>
    <w:tmpl w:val="CE52B651"/>
    <w:lvl w:ilvl="0" w:tentative="0">
      <w:start w:val="1"/>
      <w:numFmt w:val="decimal"/>
      <w:suff w:val="space"/>
      <w:lvlText w:val="32.%1"/>
      <w:lvlJc w:val="left"/>
      <w:pPr>
        <w:ind w:left="0" w:firstLine="480"/>
      </w:pPr>
      <w:rPr>
        <w:rFonts w:hint="default"/>
      </w:rPr>
    </w:lvl>
  </w:abstractNum>
  <w:abstractNum w:abstractNumId="28">
    <w:nsid w:val="CEFE27FF"/>
    <w:multiLevelType w:val="singleLevel"/>
    <w:tmpl w:val="CEFE27FF"/>
    <w:lvl w:ilvl="0" w:tentative="0">
      <w:start w:val="1"/>
      <w:numFmt w:val="decimal"/>
      <w:suff w:val="space"/>
      <w:lvlText w:val="17.%1"/>
      <w:lvlJc w:val="left"/>
      <w:pPr>
        <w:ind w:left="0" w:firstLine="480"/>
      </w:pPr>
      <w:rPr>
        <w:rFonts w:hint="default"/>
      </w:rPr>
    </w:lvl>
  </w:abstractNum>
  <w:abstractNum w:abstractNumId="29">
    <w:nsid w:val="CF4C70C4"/>
    <w:multiLevelType w:val="singleLevel"/>
    <w:tmpl w:val="CF4C70C4"/>
    <w:lvl w:ilvl="0" w:tentative="0">
      <w:start w:val="1"/>
      <w:numFmt w:val="decimal"/>
      <w:suff w:val="space"/>
      <w:lvlText w:val="2.9.%1"/>
      <w:lvlJc w:val="left"/>
      <w:pPr>
        <w:ind w:left="0" w:firstLine="480"/>
      </w:pPr>
      <w:rPr>
        <w:rFonts w:hint="default"/>
      </w:rPr>
    </w:lvl>
  </w:abstractNum>
  <w:abstractNum w:abstractNumId="30">
    <w:nsid w:val="CFAA9481"/>
    <w:multiLevelType w:val="singleLevel"/>
    <w:tmpl w:val="CFAA9481"/>
    <w:lvl w:ilvl="0" w:tentative="0">
      <w:start w:val="1"/>
      <w:numFmt w:val="chineseCounting"/>
      <w:suff w:val="nothing"/>
      <w:lvlText w:val="（%1）"/>
      <w:lvlJc w:val="left"/>
      <w:pPr>
        <w:ind w:left="0" w:firstLine="480"/>
      </w:pPr>
      <w:rPr>
        <w:rFonts w:hint="eastAsia"/>
      </w:rPr>
    </w:lvl>
  </w:abstractNum>
  <w:abstractNum w:abstractNumId="31">
    <w:nsid w:val="CFE4D873"/>
    <w:multiLevelType w:val="singleLevel"/>
    <w:tmpl w:val="CFE4D873"/>
    <w:lvl w:ilvl="0" w:tentative="0">
      <w:start w:val="1"/>
      <w:numFmt w:val="decimal"/>
      <w:suff w:val="nothing"/>
      <w:lvlText w:val="（%1）"/>
      <w:lvlJc w:val="left"/>
      <w:pPr>
        <w:ind w:left="0" w:firstLine="480"/>
      </w:pPr>
      <w:rPr>
        <w:rFonts w:hint="default"/>
      </w:rPr>
    </w:lvl>
  </w:abstractNum>
  <w:abstractNum w:abstractNumId="32">
    <w:nsid w:val="D3D62027"/>
    <w:multiLevelType w:val="singleLevel"/>
    <w:tmpl w:val="D3D62027"/>
    <w:lvl w:ilvl="0" w:tentative="0">
      <w:start w:val="1"/>
      <w:numFmt w:val="decimal"/>
      <w:suff w:val="space"/>
      <w:lvlText w:val="2.4.%1"/>
      <w:lvlJc w:val="left"/>
      <w:pPr>
        <w:ind w:left="0" w:firstLine="480"/>
      </w:pPr>
      <w:rPr>
        <w:rFonts w:hint="default"/>
      </w:rPr>
    </w:lvl>
  </w:abstractNum>
  <w:abstractNum w:abstractNumId="33">
    <w:nsid w:val="D3D63E71"/>
    <w:multiLevelType w:val="singleLevel"/>
    <w:tmpl w:val="D3D63E71"/>
    <w:lvl w:ilvl="0" w:tentative="0">
      <w:start w:val="1"/>
      <w:numFmt w:val="decimal"/>
      <w:suff w:val="space"/>
      <w:lvlText w:val="%1."/>
      <w:lvlJc w:val="left"/>
      <w:pPr>
        <w:ind w:left="0" w:firstLine="480"/>
      </w:pPr>
      <w:rPr>
        <w:rFonts w:hint="default"/>
      </w:rPr>
    </w:lvl>
  </w:abstractNum>
  <w:abstractNum w:abstractNumId="34">
    <w:nsid w:val="D677B464"/>
    <w:multiLevelType w:val="singleLevel"/>
    <w:tmpl w:val="D677B464"/>
    <w:lvl w:ilvl="0" w:tentative="0">
      <w:start w:val="1"/>
      <w:numFmt w:val="chineseCounting"/>
      <w:suff w:val="nothing"/>
      <w:lvlText w:val="（%1）"/>
      <w:lvlJc w:val="left"/>
      <w:pPr>
        <w:ind w:left="0" w:firstLine="480"/>
      </w:pPr>
      <w:rPr>
        <w:rFonts w:hint="eastAsia"/>
      </w:rPr>
    </w:lvl>
  </w:abstractNum>
  <w:abstractNum w:abstractNumId="35">
    <w:nsid w:val="DA0FC6CF"/>
    <w:multiLevelType w:val="singleLevel"/>
    <w:tmpl w:val="DA0FC6CF"/>
    <w:lvl w:ilvl="0" w:tentative="0">
      <w:start w:val="1"/>
      <w:numFmt w:val="decimal"/>
      <w:suff w:val="space"/>
      <w:lvlText w:val="(%1)"/>
      <w:lvlJc w:val="left"/>
      <w:pPr>
        <w:ind w:left="0" w:firstLine="480"/>
      </w:pPr>
      <w:rPr>
        <w:rFonts w:hint="default"/>
      </w:rPr>
    </w:lvl>
  </w:abstractNum>
  <w:abstractNum w:abstractNumId="36">
    <w:nsid w:val="DC690993"/>
    <w:multiLevelType w:val="singleLevel"/>
    <w:tmpl w:val="DC690993"/>
    <w:lvl w:ilvl="0" w:tentative="0">
      <w:start w:val="43"/>
      <w:numFmt w:val="decimal"/>
      <w:suff w:val="space"/>
      <w:lvlText w:val="%1."/>
      <w:lvlJc w:val="left"/>
      <w:pPr>
        <w:ind w:left="0" w:firstLine="480"/>
      </w:pPr>
      <w:rPr>
        <w:rFonts w:hint="default"/>
      </w:rPr>
    </w:lvl>
  </w:abstractNum>
  <w:abstractNum w:abstractNumId="37">
    <w:nsid w:val="DFE8E207"/>
    <w:multiLevelType w:val="singleLevel"/>
    <w:tmpl w:val="DFE8E207"/>
    <w:lvl w:ilvl="0" w:tentative="0">
      <w:start w:val="1"/>
      <w:numFmt w:val="chineseCounting"/>
      <w:suff w:val="nothing"/>
      <w:lvlText w:val="（%1）"/>
      <w:lvlJc w:val="left"/>
      <w:pPr>
        <w:ind w:left="0" w:firstLine="480"/>
      </w:pPr>
      <w:rPr>
        <w:rFonts w:hint="eastAsia"/>
      </w:rPr>
    </w:lvl>
  </w:abstractNum>
  <w:abstractNum w:abstractNumId="38">
    <w:nsid w:val="E4252721"/>
    <w:multiLevelType w:val="singleLevel"/>
    <w:tmpl w:val="E4252721"/>
    <w:lvl w:ilvl="0" w:tentative="0">
      <w:start w:val="1"/>
      <w:numFmt w:val="decimal"/>
      <w:suff w:val="space"/>
      <w:lvlText w:val="3.%1"/>
      <w:lvlJc w:val="left"/>
      <w:pPr>
        <w:ind w:left="0" w:firstLine="480"/>
      </w:pPr>
      <w:rPr>
        <w:rFonts w:hint="default"/>
      </w:rPr>
    </w:lvl>
  </w:abstractNum>
  <w:abstractNum w:abstractNumId="39">
    <w:nsid w:val="E6770D3F"/>
    <w:multiLevelType w:val="singleLevel"/>
    <w:tmpl w:val="E6770D3F"/>
    <w:lvl w:ilvl="0" w:tentative="0">
      <w:start w:val="1"/>
      <w:numFmt w:val="chineseCounting"/>
      <w:suff w:val="nothing"/>
      <w:lvlText w:val="%1、"/>
      <w:lvlJc w:val="left"/>
      <w:pPr>
        <w:ind w:left="0" w:firstLine="0"/>
      </w:pPr>
      <w:rPr>
        <w:rFonts w:hint="eastAsia"/>
      </w:rPr>
    </w:lvl>
  </w:abstractNum>
  <w:abstractNum w:abstractNumId="40">
    <w:nsid w:val="E7DCFC81"/>
    <w:multiLevelType w:val="singleLevel"/>
    <w:tmpl w:val="E7DCFC81"/>
    <w:lvl w:ilvl="0" w:tentative="0">
      <w:start w:val="1"/>
      <w:numFmt w:val="decimal"/>
      <w:suff w:val="space"/>
      <w:lvlText w:val="3.%1"/>
      <w:lvlJc w:val="left"/>
      <w:pPr>
        <w:ind w:left="0" w:firstLine="480"/>
      </w:pPr>
      <w:rPr>
        <w:rFonts w:hint="default"/>
      </w:rPr>
    </w:lvl>
  </w:abstractNum>
  <w:abstractNum w:abstractNumId="41">
    <w:nsid w:val="EBA5D872"/>
    <w:multiLevelType w:val="singleLevel"/>
    <w:tmpl w:val="EBA5D872"/>
    <w:lvl w:ilvl="0" w:tentative="0">
      <w:start w:val="1"/>
      <w:numFmt w:val="decimal"/>
      <w:suff w:val="space"/>
      <w:lvlText w:val="%1."/>
      <w:lvlJc w:val="left"/>
      <w:pPr>
        <w:ind w:left="0" w:firstLine="480"/>
      </w:pPr>
      <w:rPr>
        <w:rFonts w:hint="default"/>
      </w:rPr>
    </w:lvl>
  </w:abstractNum>
  <w:abstractNum w:abstractNumId="42">
    <w:nsid w:val="EF527994"/>
    <w:multiLevelType w:val="singleLevel"/>
    <w:tmpl w:val="EF527994"/>
    <w:lvl w:ilvl="0" w:tentative="0">
      <w:start w:val="1"/>
      <w:numFmt w:val="decimal"/>
      <w:suff w:val="space"/>
      <w:lvlText w:val="%1."/>
      <w:lvlJc w:val="left"/>
      <w:pPr>
        <w:ind w:left="0" w:firstLine="480"/>
      </w:pPr>
      <w:rPr>
        <w:rFonts w:hint="default"/>
      </w:rPr>
    </w:lvl>
  </w:abstractNum>
  <w:abstractNum w:abstractNumId="43">
    <w:nsid w:val="FC8471EF"/>
    <w:multiLevelType w:val="singleLevel"/>
    <w:tmpl w:val="FC8471EF"/>
    <w:lvl w:ilvl="0" w:tentative="0">
      <w:start w:val="22"/>
      <w:numFmt w:val="decimal"/>
      <w:suff w:val="space"/>
      <w:lvlText w:val="%1."/>
      <w:lvlJc w:val="left"/>
      <w:pPr>
        <w:ind w:left="0" w:firstLine="0"/>
      </w:pPr>
      <w:rPr>
        <w:rFonts w:hint="default"/>
      </w:rPr>
    </w:lvl>
  </w:abstractNum>
  <w:abstractNum w:abstractNumId="44">
    <w:nsid w:val="02BB4CF0"/>
    <w:multiLevelType w:val="singleLevel"/>
    <w:tmpl w:val="02BB4CF0"/>
    <w:lvl w:ilvl="0" w:tentative="0">
      <w:start w:val="1"/>
      <w:numFmt w:val="decimal"/>
      <w:suff w:val="space"/>
      <w:lvlText w:val="39.%1"/>
      <w:lvlJc w:val="left"/>
      <w:pPr>
        <w:ind w:left="0" w:firstLine="480"/>
      </w:pPr>
      <w:rPr>
        <w:rFonts w:hint="default"/>
      </w:rPr>
    </w:lvl>
  </w:abstractNum>
  <w:abstractNum w:abstractNumId="45">
    <w:nsid w:val="03A87080"/>
    <w:multiLevelType w:val="singleLevel"/>
    <w:tmpl w:val="03A87080"/>
    <w:lvl w:ilvl="0" w:tentative="0">
      <w:start w:val="1"/>
      <w:numFmt w:val="decimal"/>
      <w:suff w:val="space"/>
      <w:lvlText w:val="%1."/>
      <w:lvlJc w:val="left"/>
      <w:pPr>
        <w:ind w:left="0" w:firstLine="480"/>
      </w:pPr>
      <w:rPr>
        <w:rFonts w:hint="default"/>
      </w:rPr>
    </w:lvl>
  </w:abstractNum>
  <w:abstractNum w:abstractNumId="46">
    <w:nsid w:val="04A2C084"/>
    <w:multiLevelType w:val="singleLevel"/>
    <w:tmpl w:val="04A2C084"/>
    <w:lvl w:ilvl="0" w:tentative="0">
      <w:start w:val="1"/>
      <w:numFmt w:val="decimal"/>
      <w:suff w:val="space"/>
      <w:lvlText w:val="1.%1"/>
      <w:lvlJc w:val="left"/>
      <w:pPr>
        <w:ind w:left="0" w:firstLine="480"/>
      </w:pPr>
      <w:rPr>
        <w:rFonts w:hint="default"/>
      </w:rPr>
    </w:lvl>
  </w:abstractNum>
  <w:abstractNum w:abstractNumId="47">
    <w:nsid w:val="05681B66"/>
    <w:multiLevelType w:val="singleLevel"/>
    <w:tmpl w:val="05681B66"/>
    <w:lvl w:ilvl="0" w:tentative="0">
      <w:start w:val="1"/>
      <w:numFmt w:val="decimal"/>
      <w:suff w:val="space"/>
      <w:lvlText w:val="19.%1"/>
      <w:lvlJc w:val="left"/>
      <w:pPr>
        <w:ind w:left="0" w:firstLine="480"/>
      </w:pPr>
      <w:rPr>
        <w:rFonts w:hint="default"/>
      </w:rPr>
    </w:lvl>
  </w:abstractNum>
  <w:abstractNum w:abstractNumId="48">
    <w:nsid w:val="08F12DB6"/>
    <w:multiLevelType w:val="singleLevel"/>
    <w:tmpl w:val="08F12DB6"/>
    <w:lvl w:ilvl="0" w:tentative="0">
      <w:start w:val="1"/>
      <w:numFmt w:val="decimal"/>
      <w:suff w:val="space"/>
      <w:lvlText w:val="5.%1"/>
      <w:lvlJc w:val="left"/>
      <w:pPr>
        <w:ind w:left="0" w:firstLine="480"/>
      </w:pPr>
      <w:rPr>
        <w:rFonts w:hint="default"/>
      </w:rPr>
    </w:lvl>
  </w:abstractNum>
  <w:abstractNum w:abstractNumId="49">
    <w:nsid w:val="097CCBAA"/>
    <w:multiLevelType w:val="singleLevel"/>
    <w:tmpl w:val="097CCBAA"/>
    <w:lvl w:ilvl="0" w:tentative="0">
      <w:start w:val="1"/>
      <w:numFmt w:val="decimal"/>
      <w:suff w:val="space"/>
      <w:lvlText w:val="%1."/>
      <w:lvlJc w:val="left"/>
      <w:pPr>
        <w:ind w:left="0" w:firstLine="480"/>
      </w:pPr>
      <w:rPr>
        <w:rFonts w:hint="default"/>
      </w:rPr>
    </w:lvl>
  </w:abstractNum>
  <w:abstractNum w:abstractNumId="50">
    <w:nsid w:val="0987FC3F"/>
    <w:multiLevelType w:val="singleLevel"/>
    <w:tmpl w:val="0987FC3F"/>
    <w:lvl w:ilvl="0" w:tentative="0">
      <w:start w:val="1"/>
      <w:numFmt w:val="decimal"/>
      <w:suff w:val="nothing"/>
      <w:lvlText w:val="%1、"/>
      <w:lvlJc w:val="left"/>
      <w:pPr>
        <w:ind w:left="0" w:firstLine="480"/>
      </w:pPr>
      <w:rPr>
        <w:rFonts w:hint="default"/>
      </w:rPr>
    </w:lvl>
  </w:abstractNum>
  <w:abstractNum w:abstractNumId="51">
    <w:nsid w:val="0B927E10"/>
    <w:multiLevelType w:val="singleLevel"/>
    <w:tmpl w:val="0B927E10"/>
    <w:lvl w:ilvl="0" w:tentative="0">
      <w:start w:val="1"/>
      <w:numFmt w:val="decimal"/>
      <w:suff w:val="space"/>
      <w:lvlText w:val="%1."/>
      <w:lvlJc w:val="left"/>
      <w:pPr>
        <w:ind w:left="0" w:firstLine="0"/>
      </w:pPr>
      <w:rPr>
        <w:rFonts w:hint="default"/>
      </w:rPr>
    </w:lvl>
  </w:abstractNum>
  <w:abstractNum w:abstractNumId="52">
    <w:nsid w:val="0F8C83EA"/>
    <w:multiLevelType w:val="singleLevel"/>
    <w:tmpl w:val="0F8C83EA"/>
    <w:lvl w:ilvl="0" w:tentative="0">
      <w:start w:val="1"/>
      <w:numFmt w:val="decimal"/>
      <w:suff w:val="space"/>
      <w:lvlText w:val="2.1.%1"/>
      <w:lvlJc w:val="left"/>
      <w:pPr>
        <w:ind w:left="0" w:firstLine="480"/>
      </w:pPr>
      <w:rPr>
        <w:rFonts w:hint="default"/>
      </w:rPr>
    </w:lvl>
  </w:abstractNum>
  <w:abstractNum w:abstractNumId="53">
    <w:nsid w:val="11AA44EB"/>
    <w:multiLevelType w:val="singleLevel"/>
    <w:tmpl w:val="11AA44EB"/>
    <w:lvl w:ilvl="0" w:tentative="0">
      <w:start w:val="1"/>
      <w:numFmt w:val="decimal"/>
      <w:suff w:val="space"/>
      <w:lvlText w:val="(%1)"/>
      <w:lvlJc w:val="left"/>
      <w:pPr>
        <w:ind w:left="0" w:firstLine="480"/>
      </w:pPr>
      <w:rPr>
        <w:rFonts w:hint="default"/>
      </w:rPr>
    </w:lvl>
  </w:abstractNum>
  <w:abstractNum w:abstractNumId="54">
    <w:nsid w:val="136C62C2"/>
    <w:multiLevelType w:val="singleLevel"/>
    <w:tmpl w:val="136C62C2"/>
    <w:lvl w:ilvl="0" w:tentative="0">
      <w:start w:val="1"/>
      <w:numFmt w:val="chineseCounting"/>
      <w:suff w:val="space"/>
      <w:lvlText w:val="第%1章"/>
      <w:lvlJc w:val="left"/>
      <w:pPr>
        <w:ind w:left="0" w:firstLine="0"/>
      </w:pPr>
      <w:rPr>
        <w:rFonts w:hint="eastAsia"/>
      </w:rPr>
    </w:lvl>
  </w:abstractNum>
  <w:abstractNum w:abstractNumId="55">
    <w:nsid w:val="17F306BE"/>
    <w:multiLevelType w:val="singleLevel"/>
    <w:tmpl w:val="17F306BE"/>
    <w:lvl w:ilvl="0" w:tentative="0">
      <w:start w:val="1"/>
      <w:numFmt w:val="decimal"/>
      <w:suff w:val="space"/>
      <w:lvlText w:val="(%1)"/>
      <w:lvlJc w:val="left"/>
      <w:pPr>
        <w:ind w:left="0" w:firstLine="0"/>
      </w:pPr>
      <w:rPr>
        <w:rFonts w:hint="default"/>
      </w:rPr>
    </w:lvl>
  </w:abstractNum>
  <w:abstractNum w:abstractNumId="56">
    <w:nsid w:val="1A80D462"/>
    <w:multiLevelType w:val="singleLevel"/>
    <w:tmpl w:val="1A80D462"/>
    <w:lvl w:ilvl="0" w:tentative="0">
      <w:start w:val="1"/>
      <w:numFmt w:val="decimal"/>
      <w:suff w:val="space"/>
      <w:lvlText w:val="(%1)"/>
      <w:lvlJc w:val="left"/>
      <w:pPr>
        <w:ind w:left="0" w:firstLine="480"/>
      </w:pPr>
      <w:rPr>
        <w:rFonts w:hint="default"/>
      </w:rPr>
    </w:lvl>
  </w:abstractNum>
  <w:abstractNum w:abstractNumId="57">
    <w:nsid w:val="1AA053BA"/>
    <w:multiLevelType w:val="singleLevel"/>
    <w:tmpl w:val="1AA053BA"/>
    <w:lvl w:ilvl="0" w:tentative="0">
      <w:start w:val="1"/>
      <w:numFmt w:val="decimal"/>
      <w:suff w:val="space"/>
      <w:lvlText w:val="%1."/>
      <w:lvlJc w:val="left"/>
      <w:pPr>
        <w:ind w:left="0" w:firstLine="480"/>
      </w:pPr>
      <w:rPr>
        <w:rFonts w:hint="default"/>
      </w:rPr>
    </w:lvl>
  </w:abstractNum>
  <w:abstractNum w:abstractNumId="58">
    <w:nsid w:val="1ED1E62F"/>
    <w:multiLevelType w:val="singleLevel"/>
    <w:tmpl w:val="1ED1E62F"/>
    <w:lvl w:ilvl="0" w:tentative="0">
      <w:start w:val="1"/>
      <w:numFmt w:val="decimal"/>
      <w:suff w:val="space"/>
      <w:lvlText w:val="2.%1"/>
      <w:lvlJc w:val="left"/>
      <w:pPr>
        <w:ind w:left="0" w:firstLine="480"/>
      </w:pPr>
      <w:rPr>
        <w:rFonts w:hint="default"/>
      </w:rPr>
    </w:lvl>
  </w:abstractNum>
  <w:abstractNum w:abstractNumId="59">
    <w:nsid w:val="1FDD0B8B"/>
    <w:multiLevelType w:val="singleLevel"/>
    <w:tmpl w:val="1FDD0B8B"/>
    <w:lvl w:ilvl="0" w:tentative="0">
      <w:start w:val="1"/>
      <w:numFmt w:val="chineseCounting"/>
      <w:suff w:val="nothing"/>
      <w:lvlText w:val="（%1）"/>
      <w:lvlJc w:val="left"/>
      <w:pPr>
        <w:ind w:left="0" w:firstLine="480"/>
      </w:pPr>
      <w:rPr>
        <w:rFonts w:hint="eastAsia"/>
      </w:rPr>
    </w:lvl>
  </w:abstractNum>
  <w:abstractNum w:abstractNumId="60">
    <w:nsid w:val="20A37EFF"/>
    <w:multiLevelType w:val="singleLevel"/>
    <w:tmpl w:val="20A37EFF"/>
    <w:lvl w:ilvl="0" w:tentative="0">
      <w:start w:val="1"/>
      <w:numFmt w:val="decimal"/>
      <w:suff w:val="space"/>
      <w:lvlText w:val="%1."/>
      <w:lvlJc w:val="left"/>
      <w:pPr>
        <w:ind w:left="0" w:firstLine="480"/>
      </w:pPr>
      <w:rPr>
        <w:rFonts w:hint="default"/>
      </w:rPr>
    </w:lvl>
  </w:abstractNum>
  <w:abstractNum w:abstractNumId="61">
    <w:nsid w:val="22EA26F4"/>
    <w:multiLevelType w:val="singleLevel"/>
    <w:tmpl w:val="22EA26F4"/>
    <w:lvl w:ilvl="0" w:tentative="0">
      <w:start w:val="1"/>
      <w:numFmt w:val="decimal"/>
      <w:suff w:val="space"/>
      <w:lvlText w:val="%1."/>
      <w:lvlJc w:val="left"/>
      <w:pPr>
        <w:ind w:left="0" w:firstLine="0"/>
      </w:pPr>
      <w:rPr>
        <w:rFonts w:hint="default"/>
      </w:rPr>
    </w:lvl>
  </w:abstractNum>
  <w:abstractNum w:abstractNumId="62">
    <w:nsid w:val="250BCE40"/>
    <w:multiLevelType w:val="singleLevel"/>
    <w:tmpl w:val="250BCE40"/>
    <w:lvl w:ilvl="0" w:tentative="0">
      <w:start w:val="1"/>
      <w:numFmt w:val="decimal"/>
      <w:suff w:val="space"/>
      <w:lvlText w:val="%1."/>
      <w:lvlJc w:val="left"/>
      <w:pPr>
        <w:ind w:left="0" w:firstLine="480"/>
      </w:pPr>
      <w:rPr>
        <w:rFonts w:hint="default"/>
      </w:rPr>
    </w:lvl>
  </w:abstractNum>
  <w:abstractNum w:abstractNumId="63">
    <w:nsid w:val="27AE9108"/>
    <w:multiLevelType w:val="singleLevel"/>
    <w:tmpl w:val="27AE9108"/>
    <w:lvl w:ilvl="0" w:tentative="0">
      <w:start w:val="1"/>
      <w:numFmt w:val="chineseCounting"/>
      <w:suff w:val="nothing"/>
      <w:lvlText w:val="%1、"/>
      <w:lvlJc w:val="left"/>
      <w:pPr>
        <w:ind w:left="0" w:firstLine="480"/>
      </w:pPr>
      <w:rPr>
        <w:rFonts w:hint="eastAsia"/>
      </w:rPr>
    </w:lvl>
  </w:abstractNum>
  <w:abstractNum w:abstractNumId="64">
    <w:nsid w:val="2E2CA87E"/>
    <w:multiLevelType w:val="singleLevel"/>
    <w:tmpl w:val="2E2CA87E"/>
    <w:lvl w:ilvl="0" w:tentative="0">
      <w:start w:val="1"/>
      <w:numFmt w:val="decimal"/>
      <w:suff w:val="space"/>
      <w:lvlText w:val="32.%1"/>
      <w:lvlJc w:val="left"/>
      <w:pPr>
        <w:ind w:left="0" w:firstLine="480"/>
      </w:pPr>
      <w:rPr>
        <w:rFonts w:hint="default"/>
      </w:rPr>
    </w:lvl>
  </w:abstractNum>
  <w:abstractNum w:abstractNumId="65">
    <w:nsid w:val="2E42192C"/>
    <w:multiLevelType w:val="singleLevel"/>
    <w:tmpl w:val="2E42192C"/>
    <w:lvl w:ilvl="0" w:tentative="0">
      <w:start w:val="1"/>
      <w:numFmt w:val="decimal"/>
      <w:suff w:val="space"/>
      <w:lvlText w:val="31.%1"/>
      <w:lvlJc w:val="left"/>
      <w:pPr>
        <w:ind w:left="0" w:firstLine="480"/>
      </w:pPr>
      <w:rPr>
        <w:rFonts w:hint="default"/>
      </w:rPr>
    </w:lvl>
  </w:abstractNum>
  <w:abstractNum w:abstractNumId="66">
    <w:nsid w:val="330370B5"/>
    <w:multiLevelType w:val="singleLevel"/>
    <w:tmpl w:val="330370B5"/>
    <w:lvl w:ilvl="0" w:tentative="0">
      <w:start w:val="1"/>
      <w:numFmt w:val="decimal"/>
      <w:suff w:val="space"/>
      <w:lvlText w:val="%1."/>
      <w:lvlJc w:val="left"/>
      <w:pPr>
        <w:ind w:left="0" w:firstLine="480"/>
      </w:pPr>
      <w:rPr>
        <w:rFonts w:hint="default"/>
      </w:rPr>
    </w:lvl>
  </w:abstractNum>
  <w:abstractNum w:abstractNumId="67">
    <w:nsid w:val="3BFEA7A8"/>
    <w:multiLevelType w:val="singleLevel"/>
    <w:tmpl w:val="3BFEA7A8"/>
    <w:lvl w:ilvl="0" w:tentative="0">
      <w:start w:val="1"/>
      <w:numFmt w:val="decimal"/>
      <w:suff w:val="nothing"/>
      <w:lvlText w:val="（%1）"/>
      <w:lvlJc w:val="left"/>
      <w:pPr>
        <w:ind w:left="0" w:firstLine="480"/>
      </w:pPr>
      <w:rPr>
        <w:rFonts w:hint="default"/>
      </w:rPr>
    </w:lvl>
  </w:abstractNum>
  <w:abstractNum w:abstractNumId="68">
    <w:nsid w:val="43D88996"/>
    <w:multiLevelType w:val="singleLevel"/>
    <w:tmpl w:val="43D88996"/>
    <w:lvl w:ilvl="0" w:tentative="0">
      <w:start w:val="1"/>
      <w:numFmt w:val="decimal"/>
      <w:suff w:val="space"/>
      <w:lvlText w:val="1.%1"/>
      <w:lvlJc w:val="left"/>
      <w:pPr>
        <w:ind w:left="0" w:firstLine="480"/>
      </w:pPr>
      <w:rPr>
        <w:rFonts w:hint="default"/>
      </w:rPr>
    </w:lvl>
  </w:abstractNum>
  <w:abstractNum w:abstractNumId="69">
    <w:nsid w:val="458741E2"/>
    <w:multiLevelType w:val="singleLevel"/>
    <w:tmpl w:val="458741E2"/>
    <w:lvl w:ilvl="0" w:tentative="0">
      <w:start w:val="1"/>
      <w:numFmt w:val="chineseCounting"/>
      <w:suff w:val="space"/>
      <w:lvlText w:val="(%1)"/>
      <w:lvlJc w:val="left"/>
      <w:pPr>
        <w:ind w:left="0" w:firstLine="480"/>
      </w:pPr>
      <w:rPr>
        <w:rFonts w:hint="eastAsia"/>
      </w:rPr>
    </w:lvl>
  </w:abstractNum>
  <w:abstractNum w:abstractNumId="70">
    <w:nsid w:val="4680E3A8"/>
    <w:multiLevelType w:val="singleLevel"/>
    <w:tmpl w:val="4680E3A8"/>
    <w:lvl w:ilvl="0" w:tentative="0">
      <w:start w:val="12"/>
      <w:numFmt w:val="decimal"/>
      <w:suff w:val="space"/>
      <w:lvlText w:val="%1."/>
      <w:lvlJc w:val="left"/>
      <w:pPr>
        <w:ind w:left="0" w:firstLine="480"/>
      </w:pPr>
      <w:rPr>
        <w:rFonts w:hint="default"/>
      </w:rPr>
    </w:lvl>
  </w:abstractNum>
  <w:abstractNum w:abstractNumId="71">
    <w:nsid w:val="4736DF34"/>
    <w:multiLevelType w:val="singleLevel"/>
    <w:tmpl w:val="4736DF34"/>
    <w:lvl w:ilvl="0" w:tentative="0">
      <w:start w:val="1"/>
      <w:numFmt w:val="decimal"/>
      <w:suff w:val="nothing"/>
      <w:lvlText w:val="（%1）"/>
      <w:lvlJc w:val="left"/>
      <w:pPr>
        <w:ind w:left="0" w:firstLine="480"/>
      </w:pPr>
      <w:rPr>
        <w:rFonts w:hint="default"/>
      </w:rPr>
    </w:lvl>
  </w:abstractNum>
  <w:abstractNum w:abstractNumId="72">
    <w:nsid w:val="4824A050"/>
    <w:multiLevelType w:val="singleLevel"/>
    <w:tmpl w:val="4824A050"/>
    <w:lvl w:ilvl="0" w:tentative="0">
      <w:start w:val="28"/>
      <w:numFmt w:val="decimal"/>
      <w:suff w:val="space"/>
      <w:lvlText w:val="%1."/>
      <w:lvlJc w:val="left"/>
      <w:pPr>
        <w:ind w:left="0" w:firstLine="0"/>
      </w:pPr>
      <w:rPr>
        <w:rFonts w:hint="default"/>
      </w:rPr>
    </w:lvl>
  </w:abstractNum>
  <w:abstractNum w:abstractNumId="73">
    <w:nsid w:val="4D6E7422"/>
    <w:multiLevelType w:val="singleLevel"/>
    <w:tmpl w:val="4D6E7422"/>
    <w:lvl w:ilvl="0" w:tentative="0">
      <w:start w:val="1"/>
      <w:numFmt w:val="decimal"/>
      <w:suff w:val="space"/>
      <w:lvlText w:val="(%1)"/>
      <w:lvlJc w:val="left"/>
      <w:pPr>
        <w:ind w:left="0" w:firstLine="480"/>
      </w:pPr>
      <w:rPr>
        <w:rFonts w:hint="default"/>
      </w:rPr>
    </w:lvl>
  </w:abstractNum>
  <w:abstractNum w:abstractNumId="74">
    <w:nsid w:val="526A8435"/>
    <w:multiLevelType w:val="singleLevel"/>
    <w:tmpl w:val="526A8435"/>
    <w:lvl w:ilvl="0" w:tentative="0">
      <w:start w:val="1"/>
      <w:numFmt w:val="decimalEnclosedCircleChinese"/>
      <w:suff w:val="space"/>
      <w:lvlText w:val="%1"/>
      <w:lvlJc w:val="left"/>
      <w:pPr>
        <w:ind w:left="0" w:firstLine="480"/>
      </w:pPr>
      <w:rPr>
        <w:rFonts w:hint="eastAsia"/>
      </w:rPr>
    </w:lvl>
  </w:abstractNum>
  <w:abstractNum w:abstractNumId="75">
    <w:nsid w:val="543F5AD0"/>
    <w:multiLevelType w:val="singleLevel"/>
    <w:tmpl w:val="543F5AD0"/>
    <w:lvl w:ilvl="0" w:tentative="0">
      <w:start w:val="1"/>
      <w:numFmt w:val="decimal"/>
      <w:suff w:val="space"/>
      <w:lvlText w:val="(%1)"/>
      <w:lvlJc w:val="left"/>
      <w:pPr>
        <w:ind w:left="0" w:firstLine="480"/>
      </w:pPr>
      <w:rPr>
        <w:rFonts w:hint="default"/>
      </w:rPr>
    </w:lvl>
  </w:abstractNum>
  <w:abstractNum w:abstractNumId="76">
    <w:nsid w:val="561A147F"/>
    <w:multiLevelType w:val="singleLevel"/>
    <w:tmpl w:val="561A147F"/>
    <w:lvl w:ilvl="0" w:tentative="0">
      <w:start w:val="1"/>
      <w:numFmt w:val="decimal"/>
      <w:suff w:val="nothing"/>
      <w:lvlText w:val="%1、"/>
      <w:lvlJc w:val="left"/>
      <w:pPr>
        <w:ind w:left="0" w:firstLine="480"/>
      </w:pPr>
      <w:rPr>
        <w:rFonts w:hint="default"/>
      </w:rPr>
    </w:lvl>
  </w:abstractNum>
  <w:abstractNum w:abstractNumId="77">
    <w:nsid w:val="56689628"/>
    <w:multiLevelType w:val="singleLevel"/>
    <w:tmpl w:val="56689628"/>
    <w:lvl w:ilvl="0" w:tentative="0">
      <w:start w:val="1"/>
      <w:numFmt w:val="decimal"/>
      <w:suff w:val="space"/>
      <w:lvlText w:val="2.5.%1"/>
      <w:lvlJc w:val="left"/>
      <w:pPr>
        <w:ind w:left="0" w:firstLine="480"/>
      </w:pPr>
      <w:rPr>
        <w:rFonts w:hint="default"/>
      </w:rPr>
    </w:lvl>
  </w:abstractNum>
  <w:abstractNum w:abstractNumId="78">
    <w:nsid w:val="569DA979"/>
    <w:multiLevelType w:val="singleLevel"/>
    <w:tmpl w:val="569DA979"/>
    <w:lvl w:ilvl="0" w:tentative="0">
      <w:start w:val="1"/>
      <w:numFmt w:val="decimal"/>
      <w:suff w:val="space"/>
      <w:lvlText w:val="18.%1"/>
      <w:lvlJc w:val="left"/>
      <w:pPr>
        <w:ind w:left="0" w:firstLine="480"/>
      </w:pPr>
      <w:rPr>
        <w:rFonts w:hint="default"/>
      </w:rPr>
    </w:lvl>
  </w:abstractNum>
  <w:abstractNum w:abstractNumId="79">
    <w:nsid w:val="5D012D50"/>
    <w:multiLevelType w:val="singleLevel"/>
    <w:tmpl w:val="5D012D50"/>
    <w:lvl w:ilvl="0" w:tentative="0">
      <w:start w:val="1"/>
      <w:numFmt w:val="decimal"/>
      <w:suff w:val="nothing"/>
      <w:lvlText w:val="（%1）"/>
      <w:lvlJc w:val="left"/>
      <w:pPr>
        <w:ind w:left="0" w:firstLine="480"/>
      </w:pPr>
      <w:rPr>
        <w:rFonts w:hint="default"/>
      </w:rPr>
    </w:lvl>
  </w:abstractNum>
  <w:abstractNum w:abstractNumId="80">
    <w:nsid w:val="617B8026"/>
    <w:multiLevelType w:val="singleLevel"/>
    <w:tmpl w:val="617B8026"/>
    <w:lvl w:ilvl="0" w:tentative="0">
      <w:start w:val="1"/>
      <w:numFmt w:val="decimal"/>
      <w:suff w:val="space"/>
      <w:lvlText w:val="%1."/>
      <w:lvlJc w:val="left"/>
      <w:pPr>
        <w:ind w:left="0" w:firstLine="480"/>
      </w:pPr>
      <w:rPr>
        <w:rFonts w:hint="default"/>
      </w:rPr>
    </w:lvl>
  </w:abstractNum>
  <w:abstractNum w:abstractNumId="81">
    <w:nsid w:val="6293F41B"/>
    <w:multiLevelType w:val="singleLevel"/>
    <w:tmpl w:val="6293F41B"/>
    <w:lvl w:ilvl="0" w:tentative="0">
      <w:start w:val="1"/>
      <w:numFmt w:val="decimal"/>
      <w:suff w:val="space"/>
      <w:lvlText w:val="%1."/>
      <w:lvlJc w:val="left"/>
      <w:pPr>
        <w:ind w:left="0" w:firstLine="480"/>
      </w:pPr>
      <w:rPr>
        <w:rFonts w:hint="default"/>
      </w:rPr>
    </w:lvl>
  </w:abstractNum>
  <w:abstractNum w:abstractNumId="82">
    <w:nsid w:val="67E0A2F1"/>
    <w:multiLevelType w:val="singleLevel"/>
    <w:tmpl w:val="67E0A2F1"/>
    <w:lvl w:ilvl="0" w:tentative="0">
      <w:start w:val="1"/>
      <w:numFmt w:val="chineseCounting"/>
      <w:suff w:val="nothing"/>
      <w:lvlText w:val="%1、"/>
      <w:lvlJc w:val="left"/>
      <w:pPr>
        <w:ind w:left="0" w:firstLine="0"/>
      </w:pPr>
      <w:rPr>
        <w:rFonts w:hint="eastAsia"/>
      </w:rPr>
    </w:lvl>
  </w:abstractNum>
  <w:abstractNum w:abstractNumId="83">
    <w:nsid w:val="695C4994"/>
    <w:multiLevelType w:val="singleLevel"/>
    <w:tmpl w:val="695C4994"/>
    <w:lvl w:ilvl="0" w:tentative="0">
      <w:start w:val="1"/>
      <w:numFmt w:val="decimal"/>
      <w:suff w:val="space"/>
      <w:lvlText w:val="(%1)"/>
      <w:lvlJc w:val="left"/>
      <w:pPr>
        <w:ind w:left="0" w:firstLine="480"/>
      </w:pPr>
      <w:rPr>
        <w:rFonts w:hint="default"/>
      </w:rPr>
    </w:lvl>
  </w:abstractNum>
  <w:abstractNum w:abstractNumId="84">
    <w:nsid w:val="6C7731AA"/>
    <w:multiLevelType w:val="singleLevel"/>
    <w:tmpl w:val="6C7731AA"/>
    <w:lvl w:ilvl="0" w:tentative="0">
      <w:start w:val="1"/>
      <w:numFmt w:val="decimal"/>
      <w:suff w:val="space"/>
      <w:lvlText w:val="%1."/>
      <w:lvlJc w:val="left"/>
      <w:pPr>
        <w:ind w:left="0" w:firstLine="480"/>
      </w:pPr>
      <w:rPr>
        <w:rFonts w:hint="default"/>
      </w:rPr>
    </w:lvl>
  </w:abstractNum>
  <w:abstractNum w:abstractNumId="85">
    <w:nsid w:val="6DFF6868"/>
    <w:multiLevelType w:val="singleLevel"/>
    <w:tmpl w:val="6DFF6868"/>
    <w:lvl w:ilvl="0" w:tentative="0">
      <w:start w:val="32"/>
      <w:numFmt w:val="decimal"/>
      <w:suff w:val="space"/>
      <w:lvlText w:val="%1."/>
      <w:lvlJc w:val="left"/>
      <w:pPr>
        <w:ind w:left="0" w:firstLine="0"/>
      </w:pPr>
      <w:rPr>
        <w:rFonts w:hint="default"/>
      </w:rPr>
    </w:lvl>
  </w:abstractNum>
  <w:abstractNum w:abstractNumId="86">
    <w:nsid w:val="6E239930"/>
    <w:multiLevelType w:val="singleLevel"/>
    <w:tmpl w:val="6E239930"/>
    <w:lvl w:ilvl="0" w:tentative="0">
      <w:start w:val="1"/>
      <w:numFmt w:val="decimal"/>
      <w:suff w:val="space"/>
      <w:lvlText w:val="%1."/>
      <w:lvlJc w:val="left"/>
      <w:pPr>
        <w:ind w:left="0" w:firstLine="480"/>
      </w:pPr>
      <w:rPr>
        <w:rFonts w:hint="default"/>
      </w:rPr>
    </w:lvl>
  </w:abstractNum>
  <w:abstractNum w:abstractNumId="87">
    <w:nsid w:val="73345BD1"/>
    <w:multiLevelType w:val="singleLevel"/>
    <w:tmpl w:val="73345BD1"/>
    <w:lvl w:ilvl="0" w:tentative="0">
      <w:start w:val="1"/>
      <w:numFmt w:val="chineseCounting"/>
      <w:suff w:val="nothing"/>
      <w:lvlText w:val="%1、"/>
      <w:lvlJc w:val="left"/>
      <w:pPr>
        <w:ind w:left="0" w:firstLine="0"/>
      </w:pPr>
      <w:rPr>
        <w:rFonts w:hint="eastAsia"/>
      </w:rPr>
    </w:lvl>
  </w:abstractNum>
  <w:abstractNum w:abstractNumId="88">
    <w:nsid w:val="737427BC"/>
    <w:multiLevelType w:val="singleLevel"/>
    <w:tmpl w:val="737427BC"/>
    <w:lvl w:ilvl="0" w:tentative="0">
      <w:start w:val="1"/>
      <w:numFmt w:val="decimal"/>
      <w:suff w:val="space"/>
      <w:lvlText w:val="2.%1"/>
      <w:lvlJc w:val="left"/>
      <w:pPr>
        <w:ind w:left="0" w:firstLine="480"/>
      </w:pPr>
      <w:rPr>
        <w:rFonts w:hint="default"/>
      </w:rPr>
    </w:lvl>
  </w:abstractNum>
  <w:abstractNum w:abstractNumId="89">
    <w:nsid w:val="774C5B78"/>
    <w:multiLevelType w:val="singleLevel"/>
    <w:tmpl w:val="774C5B78"/>
    <w:lvl w:ilvl="0" w:tentative="0">
      <w:start w:val="1"/>
      <w:numFmt w:val="decimal"/>
      <w:suff w:val="space"/>
      <w:lvlText w:val="2.12.%1"/>
      <w:lvlJc w:val="left"/>
      <w:pPr>
        <w:ind w:left="0" w:firstLine="480"/>
      </w:pPr>
      <w:rPr>
        <w:rFonts w:hint="default"/>
      </w:rPr>
    </w:lvl>
  </w:abstractNum>
  <w:abstractNum w:abstractNumId="90">
    <w:nsid w:val="7AF9BFD5"/>
    <w:multiLevelType w:val="singleLevel"/>
    <w:tmpl w:val="7AF9BFD5"/>
    <w:lvl w:ilvl="0" w:tentative="0">
      <w:start w:val="9"/>
      <w:numFmt w:val="decimal"/>
      <w:suff w:val="nothing"/>
      <w:lvlText w:val="%1．"/>
      <w:lvlJc w:val="left"/>
      <w:pPr>
        <w:ind w:left="0" w:firstLine="0"/>
      </w:pPr>
      <w:rPr>
        <w:rFonts w:hint="default"/>
      </w:rPr>
    </w:lvl>
  </w:abstractNum>
  <w:num w:numId="1">
    <w:abstractNumId w:val="54"/>
  </w:num>
  <w:num w:numId="2">
    <w:abstractNumId w:val="21"/>
  </w:num>
  <w:num w:numId="3">
    <w:abstractNumId w:val="12"/>
  </w:num>
  <w:num w:numId="4">
    <w:abstractNumId w:val="62"/>
  </w:num>
  <w:num w:numId="5">
    <w:abstractNumId w:val="84"/>
  </w:num>
  <w:num w:numId="6">
    <w:abstractNumId w:val="16"/>
  </w:num>
  <w:num w:numId="7">
    <w:abstractNumId w:val="25"/>
  </w:num>
  <w:num w:numId="8">
    <w:abstractNumId w:val="87"/>
  </w:num>
  <w:num w:numId="9">
    <w:abstractNumId w:val="8"/>
  </w:num>
  <w:num w:numId="10">
    <w:abstractNumId w:val="46"/>
  </w:num>
  <w:num w:numId="11">
    <w:abstractNumId w:val="58"/>
  </w:num>
  <w:num w:numId="12">
    <w:abstractNumId w:val="40"/>
  </w:num>
  <w:num w:numId="13">
    <w:abstractNumId w:val="1"/>
  </w:num>
  <w:num w:numId="14">
    <w:abstractNumId w:val="48"/>
  </w:num>
  <w:num w:numId="15">
    <w:abstractNumId w:val="53"/>
  </w:num>
  <w:num w:numId="16">
    <w:abstractNumId w:val="90"/>
  </w:num>
  <w:num w:numId="17">
    <w:abstractNumId w:val="73"/>
  </w:num>
  <w:num w:numId="18">
    <w:abstractNumId w:val="26"/>
  </w:num>
  <w:num w:numId="19">
    <w:abstractNumId w:val="70"/>
  </w:num>
  <w:num w:numId="20">
    <w:abstractNumId w:val="20"/>
  </w:num>
  <w:num w:numId="21">
    <w:abstractNumId w:val="28"/>
  </w:num>
  <w:num w:numId="22">
    <w:abstractNumId w:val="83"/>
  </w:num>
  <w:num w:numId="23">
    <w:abstractNumId w:val="35"/>
  </w:num>
  <w:num w:numId="24">
    <w:abstractNumId w:val="78"/>
  </w:num>
  <w:num w:numId="25">
    <w:abstractNumId w:val="47"/>
  </w:num>
  <w:num w:numId="26">
    <w:abstractNumId w:val="10"/>
  </w:num>
  <w:num w:numId="27">
    <w:abstractNumId w:val="43"/>
  </w:num>
  <w:num w:numId="28">
    <w:abstractNumId w:val="2"/>
  </w:num>
  <w:num w:numId="29">
    <w:abstractNumId w:val="3"/>
  </w:num>
  <w:num w:numId="30">
    <w:abstractNumId w:val="22"/>
  </w:num>
  <w:num w:numId="31">
    <w:abstractNumId w:val="72"/>
  </w:num>
  <w:num w:numId="32">
    <w:abstractNumId w:val="13"/>
  </w:num>
  <w:num w:numId="33">
    <w:abstractNumId w:val="75"/>
  </w:num>
  <w:num w:numId="34">
    <w:abstractNumId w:val="65"/>
  </w:num>
  <w:num w:numId="35">
    <w:abstractNumId w:val="27"/>
  </w:num>
  <w:num w:numId="36">
    <w:abstractNumId w:val="85"/>
  </w:num>
  <w:num w:numId="37">
    <w:abstractNumId w:val="64"/>
  </w:num>
  <w:num w:numId="38">
    <w:abstractNumId w:val="44"/>
  </w:num>
  <w:num w:numId="39">
    <w:abstractNumId w:val="56"/>
  </w:num>
  <w:num w:numId="40">
    <w:abstractNumId w:val="36"/>
  </w:num>
  <w:num w:numId="41">
    <w:abstractNumId w:val="19"/>
  </w:num>
  <w:num w:numId="42">
    <w:abstractNumId w:val="5"/>
  </w:num>
  <w:num w:numId="43">
    <w:abstractNumId w:val="15"/>
  </w:num>
  <w:num w:numId="44">
    <w:abstractNumId w:val="55"/>
  </w:num>
  <w:num w:numId="45">
    <w:abstractNumId w:val="74"/>
  </w:num>
  <w:num w:numId="46">
    <w:abstractNumId w:val="18"/>
  </w:num>
  <w:num w:numId="47">
    <w:abstractNumId w:val="9"/>
  </w:num>
  <w:num w:numId="48">
    <w:abstractNumId w:val="61"/>
  </w:num>
  <w:num w:numId="49">
    <w:abstractNumId w:val="76"/>
  </w:num>
  <w:num w:numId="50">
    <w:abstractNumId w:val="45"/>
  </w:num>
  <w:num w:numId="51">
    <w:abstractNumId w:val="38"/>
  </w:num>
  <w:num w:numId="52">
    <w:abstractNumId w:val="63"/>
  </w:num>
  <w:num w:numId="53">
    <w:abstractNumId w:val="82"/>
  </w:num>
  <w:num w:numId="54">
    <w:abstractNumId w:val="7"/>
  </w:num>
  <w:num w:numId="55">
    <w:abstractNumId w:val="37"/>
  </w:num>
  <w:num w:numId="56">
    <w:abstractNumId w:val="24"/>
  </w:num>
  <w:num w:numId="57">
    <w:abstractNumId w:val="66"/>
  </w:num>
  <w:num w:numId="58">
    <w:abstractNumId w:val="39"/>
  </w:num>
  <w:num w:numId="59">
    <w:abstractNumId w:val="50"/>
  </w:num>
  <w:num w:numId="60">
    <w:abstractNumId w:val="51"/>
  </w:num>
  <w:num w:numId="61">
    <w:abstractNumId w:val="68"/>
  </w:num>
  <w:num w:numId="62">
    <w:abstractNumId w:val="34"/>
  </w:num>
  <w:num w:numId="63">
    <w:abstractNumId w:val="88"/>
  </w:num>
  <w:num w:numId="64">
    <w:abstractNumId w:val="52"/>
  </w:num>
  <w:num w:numId="65">
    <w:abstractNumId w:val="67"/>
  </w:num>
  <w:num w:numId="66">
    <w:abstractNumId w:val="6"/>
  </w:num>
  <w:num w:numId="67">
    <w:abstractNumId w:val="32"/>
  </w:num>
  <w:num w:numId="68">
    <w:abstractNumId w:val="77"/>
  </w:num>
  <w:num w:numId="69">
    <w:abstractNumId w:val="29"/>
  </w:num>
  <w:num w:numId="70">
    <w:abstractNumId w:val="23"/>
  </w:num>
  <w:num w:numId="71">
    <w:abstractNumId w:val="79"/>
  </w:num>
  <w:num w:numId="72">
    <w:abstractNumId w:val="71"/>
  </w:num>
  <w:num w:numId="73">
    <w:abstractNumId w:val="89"/>
  </w:num>
  <w:num w:numId="74">
    <w:abstractNumId w:val="31"/>
  </w:num>
  <w:num w:numId="75">
    <w:abstractNumId w:val="4"/>
  </w:num>
  <w:num w:numId="76">
    <w:abstractNumId w:val="17"/>
  </w:num>
  <w:num w:numId="77">
    <w:abstractNumId w:val="57"/>
  </w:num>
  <w:num w:numId="78">
    <w:abstractNumId w:val="30"/>
  </w:num>
  <w:num w:numId="79">
    <w:abstractNumId w:val="59"/>
  </w:num>
  <w:num w:numId="80">
    <w:abstractNumId w:val="11"/>
  </w:num>
  <w:num w:numId="81">
    <w:abstractNumId w:val="80"/>
  </w:num>
  <w:num w:numId="82">
    <w:abstractNumId w:val="69"/>
  </w:num>
  <w:num w:numId="83">
    <w:abstractNumId w:val="42"/>
  </w:num>
  <w:num w:numId="84">
    <w:abstractNumId w:val="41"/>
  </w:num>
  <w:num w:numId="85">
    <w:abstractNumId w:val="81"/>
  </w:num>
  <w:num w:numId="86">
    <w:abstractNumId w:val="0"/>
  </w:num>
  <w:num w:numId="87">
    <w:abstractNumId w:val="14"/>
  </w:num>
  <w:num w:numId="88">
    <w:abstractNumId w:val="33"/>
  </w:num>
  <w:num w:numId="89">
    <w:abstractNumId w:val="60"/>
  </w:num>
  <w:num w:numId="90">
    <w:abstractNumId w:val="49"/>
  </w:num>
  <w:num w:numId="91">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FhNmY2MzU5Y2NkNDk0Yzc0MzQxODQ0MmQxMzhkZjUifQ=="/>
  </w:docVars>
  <w:rsids>
    <w:rsidRoot w:val="00000000"/>
    <w:rsid w:val="01FE5D09"/>
    <w:rsid w:val="0A9B408A"/>
    <w:rsid w:val="0E4C4192"/>
    <w:rsid w:val="15A703A2"/>
    <w:rsid w:val="1C6E5E7B"/>
    <w:rsid w:val="1DEC1541"/>
    <w:rsid w:val="25CF0C80"/>
    <w:rsid w:val="2BC03B14"/>
    <w:rsid w:val="2C8F240D"/>
    <w:rsid w:val="33354DE7"/>
    <w:rsid w:val="34EA7CBB"/>
    <w:rsid w:val="3CB04C67"/>
    <w:rsid w:val="40EC4CA3"/>
    <w:rsid w:val="42D9753D"/>
    <w:rsid w:val="4F90786D"/>
    <w:rsid w:val="50EA0B67"/>
    <w:rsid w:val="52D946DE"/>
    <w:rsid w:val="5B8662FD"/>
    <w:rsid w:val="5C8C444A"/>
    <w:rsid w:val="63FC2F8A"/>
    <w:rsid w:val="6618187B"/>
    <w:rsid w:val="6BDF50A9"/>
    <w:rsid w:val="6E15630F"/>
    <w:rsid w:val="71192B1E"/>
    <w:rsid w:val="74AA51E7"/>
    <w:rsid w:val="758E0C33"/>
    <w:rsid w:val="76A2766B"/>
    <w:rsid w:val="79A4194C"/>
    <w:rsid w:val="7BCC0FA8"/>
    <w:rsid w:val="7CCF84CB"/>
    <w:rsid w:val="C3FEFC5D"/>
    <w:rsid w:val="DFF51DDB"/>
    <w:rsid w:val="F6B7D31D"/>
    <w:rsid w:val="F79F9E3D"/>
    <w:rsid w:val="FADC2717"/>
    <w:rsid w:val="FAEF96DC"/>
    <w:rsid w:val="FDFB6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5">
    <w:name w:val="heading 2"/>
    <w:next w:val="1"/>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paragraph" w:styleId="6">
    <w:name w:val="heading 3"/>
    <w:next w:val="1"/>
    <w:unhideWhenUsed/>
    <w:qFormat/>
    <w:uiPriority w:val="0"/>
    <w:pPr>
      <w:keepNext w:val="0"/>
      <w:keepLines w:val="0"/>
      <w:widowControl w:val="0"/>
      <w:spacing w:before="120" w:beforeAutospacing="0" w:after="120" w:afterAutospacing="0" w:line="360" w:lineRule="auto"/>
      <w:jc w:val="left"/>
      <w:outlineLvl w:val="2"/>
    </w:pPr>
    <w:rPr>
      <w:rFonts w:ascii="Times New Roman" w:hAnsi="Times New Roman" w:eastAsia="宋体" w:cs="Times New Roman"/>
      <w:b/>
      <w:sz w:val="24"/>
    </w:rPr>
  </w:style>
  <w:style w:type="paragraph" w:styleId="7">
    <w:name w:val="heading 4"/>
    <w:next w:val="1"/>
    <w:unhideWhenUsed/>
    <w:qFormat/>
    <w:uiPriority w:val="0"/>
    <w:pPr>
      <w:keepNext w:val="0"/>
      <w:keepLines w:val="0"/>
      <w:widowControl w:val="0"/>
      <w:spacing w:before="120" w:beforeAutospacing="0" w:after="120" w:afterAutospacing="0" w:line="360" w:lineRule="auto"/>
      <w:outlineLvl w:val="3"/>
    </w:pPr>
    <w:rPr>
      <w:rFonts w:ascii="Times New Roman" w:hAnsi="Times New Roman" w:eastAsia="宋体" w:cs="Times New Roman"/>
      <w:b/>
      <w:sz w:val="24"/>
    </w:rPr>
  </w:style>
  <w:style w:type="paragraph" w:styleId="8">
    <w:name w:val="heading 5"/>
    <w:next w:val="1"/>
    <w:semiHidden/>
    <w:unhideWhenUsed/>
    <w:qFormat/>
    <w:uiPriority w:val="0"/>
    <w:pPr>
      <w:keepNext w:val="0"/>
      <w:keepLines w:val="0"/>
      <w:widowControl w:val="0"/>
      <w:spacing w:beforeLines="0" w:beforeAutospacing="0" w:after="120" w:afterLines="0" w:afterAutospacing="0" w:line="300" w:lineRule="auto"/>
      <w:jc w:val="left"/>
      <w:outlineLvl w:val="4"/>
    </w:pPr>
    <w:rPr>
      <w:rFonts w:ascii="Times New Roman" w:hAnsi="Times New Roman" w:eastAsia="宋体" w:cs="Times New Roman"/>
      <w:sz w:val="24"/>
    </w:rPr>
  </w:style>
  <w:style w:type="paragraph" w:styleId="9">
    <w:name w:val="heading 6"/>
    <w:next w:val="1"/>
    <w:semiHidden/>
    <w:unhideWhenUsed/>
    <w:qFormat/>
    <w:uiPriority w:val="0"/>
    <w:pPr>
      <w:keepNext w:val="0"/>
      <w:keepLines w:val="0"/>
      <w:widowControl w:val="0"/>
      <w:spacing w:beforeLines="0" w:beforeAutospacing="0" w:after="120" w:afterLines="0" w:afterAutospacing="0" w:line="300" w:lineRule="auto"/>
      <w:jc w:val="left"/>
      <w:outlineLvl w:val="5"/>
    </w:pPr>
    <w:rPr>
      <w:rFonts w:ascii="Times New Roman" w:hAnsi="Times New Roman" w:eastAsia="宋体" w:cs="Times New Roman"/>
      <w:sz w:val="24"/>
    </w:rPr>
  </w:style>
  <w:style w:type="paragraph" w:styleId="10">
    <w:name w:val="heading 7"/>
    <w:next w:val="1"/>
    <w:semiHidden/>
    <w:unhideWhenUsed/>
    <w:qFormat/>
    <w:uiPriority w:val="0"/>
    <w:pPr>
      <w:keepNext w:val="0"/>
      <w:keepLines w:val="0"/>
      <w:widowControl w:val="0"/>
      <w:spacing w:beforeLines="0" w:beforeAutospacing="0" w:after="120" w:afterLines="0" w:afterAutospacing="0" w:line="300" w:lineRule="auto"/>
      <w:jc w:val="left"/>
      <w:outlineLvl w:val="6"/>
    </w:pPr>
    <w:rPr>
      <w:rFonts w:ascii="Times New Roman" w:hAnsi="Times New Roman" w:eastAsia="宋体" w:cs="Times New Roman"/>
      <w:sz w:val="24"/>
    </w:rPr>
  </w:style>
  <w:style w:type="paragraph" w:styleId="11">
    <w:name w:val="heading 8"/>
    <w:next w:val="1"/>
    <w:semiHidden/>
    <w:unhideWhenUsed/>
    <w:qFormat/>
    <w:uiPriority w:val="0"/>
    <w:pPr>
      <w:keepNext w:val="0"/>
      <w:keepLines w:val="0"/>
      <w:widowControl w:val="0"/>
      <w:spacing w:beforeLines="0" w:beforeAutospacing="0" w:after="120" w:afterLines="0" w:afterAutospacing="0" w:line="300" w:lineRule="auto"/>
      <w:jc w:val="left"/>
      <w:outlineLvl w:val="7"/>
    </w:pPr>
    <w:rPr>
      <w:rFonts w:ascii="Times New Roman" w:hAnsi="Times New Roman" w:eastAsia="宋体" w:cs="Times New Roman"/>
      <w:sz w:val="24"/>
    </w:rPr>
  </w:style>
  <w:style w:type="paragraph" w:styleId="12">
    <w:name w:val="heading 9"/>
    <w:next w:val="1"/>
    <w:semiHidden/>
    <w:unhideWhenUsed/>
    <w:qFormat/>
    <w:uiPriority w:val="0"/>
    <w:pPr>
      <w:keepNext w:val="0"/>
      <w:keepLines w:val="0"/>
      <w:widowControl w:val="0"/>
      <w:spacing w:beforeLines="0" w:beforeAutospacing="0" w:after="120" w:afterLines="0" w:afterAutospacing="0" w:line="300" w:lineRule="auto"/>
      <w:jc w:val="left"/>
      <w:outlineLvl w:val="8"/>
    </w:pPr>
    <w:rPr>
      <w:rFonts w:ascii="Times New Roman" w:hAnsi="Times New Roman" w:eastAsia="宋体" w:cs="Times New Roman"/>
      <w:sz w:val="24"/>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3">
    <w:name w:val="Plain Text"/>
    <w:basedOn w:val="1"/>
    <w:qFormat/>
    <w:uiPriority w:val="0"/>
    <w:pPr>
      <w:autoSpaceDE w:val="0"/>
      <w:autoSpaceDN w:val="0"/>
      <w:adjustRightInd w:val="0"/>
    </w:pPr>
    <w:rPr>
      <w:rFonts w:ascii="宋体"/>
      <w:kern w:val="0"/>
      <w:szCs w:val="20"/>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Subtitle"/>
    <w:next w:val="1"/>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7">
    <w:name w:val="toc 2"/>
    <w:basedOn w:val="1"/>
    <w:next w:val="1"/>
    <w:qFormat/>
    <w:uiPriority w:val="0"/>
    <w:pPr>
      <w:ind w:left="420" w:leftChars="200"/>
    </w:pPr>
  </w:style>
  <w:style w:type="paragraph" w:styleId="18">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9">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paragraph" w:customStyle="1" w:styleId="2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qFormat/>
    <w:uiPriority w:val="0"/>
    <w:rPr>
      <w:rFonts w:ascii="Calibri" w:hAnsi="Calibri" w:eastAsia="宋体" w:cs="Times New Roman"/>
      <w:lang w:bidi="ar-SA"/>
    </w:rPr>
  </w:style>
  <w:style w:type="paragraph" w:customStyle="1" w:styleId="29">
    <w:name w:val="UserStyle_104"/>
    <w:qFormat/>
    <w:uiPriority w:val="0"/>
    <w:pPr>
      <w:textAlignment w:val="baseline"/>
    </w:pPr>
    <w:rPr>
      <w:rFonts w:ascii="宋体" w:hAnsi="Times New Roman" w:eastAsia="宋体" w:cs="Times New Roman"/>
      <w:sz w:val="24"/>
      <w:szCs w:val="24"/>
      <w:lang w:val="en-US" w:eastAsia="zh-CN" w:bidi="ar-SA"/>
    </w:rPr>
  </w:style>
  <w:style w:type="paragraph" w:customStyle="1" w:styleId="30">
    <w:name w:val="章前标题"/>
    <w:next w:val="1"/>
    <w:qFormat/>
    <w:uiPriority w:val="0"/>
    <w:pPr>
      <w:keepNext w:val="0"/>
      <w:keepLines w:val="0"/>
      <w:pageBreakBefore w:val="0"/>
      <w:widowControl w:val="0"/>
      <w:kinsoku/>
      <w:wordWrap/>
      <w:overflowPunct/>
      <w:topLinePunct w:val="0"/>
      <w:autoSpaceDE/>
      <w:autoSpaceDN/>
      <w:bidi w:val="0"/>
      <w:adjustRightInd/>
      <w:spacing w:before="240" w:beforeLines="0" w:after="240" w:line="360" w:lineRule="auto"/>
      <w:jc w:val="center"/>
      <w:textAlignment w:val="auto"/>
      <w:outlineLvl w:val="9"/>
    </w:pPr>
    <w:rPr>
      <w:rFonts w:ascii="黑体" w:hAnsi="黑体" w:eastAsia="黑体" w:cs="黑体"/>
      <w:kern w:val="44"/>
      <w:sz w:val="30"/>
      <w:szCs w:val="36"/>
    </w:rPr>
  </w:style>
  <w:style w:type="paragraph" w:customStyle="1" w:styleId="31">
    <w:name w:val="章节标题"/>
    <w:next w:val="1"/>
    <w:qFormat/>
    <w:uiPriority w:val="0"/>
    <w:pPr>
      <w:pageBreakBefore w:val="0"/>
      <w:widowControl w:val="0"/>
      <w:spacing w:before="240" w:beforeLines="0" w:after="240" w:line="360" w:lineRule="auto"/>
      <w:jc w:val="center"/>
      <w:outlineLvl w:val="0"/>
    </w:pPr>
    <w:rPr>
      <w:rFonts w:ascii="Times New Roman" w:hAnsi="Times New Roman" w:eastAsia="黑体" w:cs="Times New Roman"/>
      <w:kern w:val="44"/>
      <w:sz w:val="30"/>
      <w:szCs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Info spid="_x0000_s2063"/>
    <customShpInfo spid="_x0000_s2065"/>
    <customShpInfo spid="_x0000_s209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930</Words>
  <Characters>1073</Characters>
  <TotalTime>6</TotalTime>
  <ScaleCrop>false</ScaleCrop>
  <LinksUpToDate>false</LinksUpToDate>
  <CharactersWithSpaces>1131</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2022-08-31T02:53:00Z</dcterms:created>
  <dc:creator>User</dc:creator>
  <cp:lastModifiedBy>user</cp:lastModifiedBy>
  <cp:lastPrinted>2024-12-06T17:10:00Z</cp:lastPrinted>
  <dcterms:modified xsi:type="dcterms:W3CDTF">2024-12-09T09:25:22Z</dcterms:modified>
  <dc:title>采购编号：SCWZDL-201305-SSBCFZ04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2023-02-02T13:50:11Z</vt:filetime>
  </property>
  <property fmtid="{D5CDD505-2E9C-101B-9397-08002B2CF9AE}" pid="4" name="KSOProductBuildVer">
    <vt:lpwstr>2052-11.8.2.9980</vt:lpwstr>
  </property>
  <property fmtid="{D5CDD505-2E9C-101B-9397-08002B2CF9AE}" pid="5" name="ICV">
    <vt:lpwstr>C90D0D748F23484FBE431A10066436D6_13</vt:lpwstr>
  </property>
</Properties>
</file>